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C3E934" w14:textId="77777777" w:rsidR="008B4CBC" w:rsidRDefault="008B4CBC" w:rsidP="008B4CBC">
      <w:pPr>
        <w:pStyle w:val="F2-zkladn"/>
        <w:spacing w:line="276" w:lineRule="auto"/>
        <w:rPr>
          <w:b/>
          <w:sz w:val="28"/>
          <w:szCs w:val="28"/>
        </w:rPr>
      </w:pPr>
      <w:r>
        <w:rPr>
          <w:b/>
          <w:sz w:val="28"/>
          <w:szCs w:val="28"/>
        </w:rPr>
        <w:t>TISKOVÁ ZPRÁVA</w:t>
      </w:r>
    </w:p>
    <w:p w14:paraId="6A51F8D5" w14:textId="6DF223C4" w:rsidR="008B4CBC" w:rsidRPr="00AC3268" w:rsidRDefault="008B4CBC" w:rsidP="00AC3268">
      <w:pPr>
        <w:pStyle w:val="F2-zkladn"/>
        <w:spacing w:line="276" w:lineRule="auto"/>
        <w:jc w:val="right"/>
        <w:rPr>
          <w:b/>
          <w:sz w:val="28"/>
          <w:szCs w:val="28"/>
        </w:rPr>
      </w:pPr>
      <w:r w:rsidRPr="00455A3C">
        <w:tab/>
      </w:r>
      <w:r w:rsidRPr="00893890">
        <w:t>Praha,</w:t>
      </w:r>
      <w:r>
        <w:t xml:space="preserve"> </w:t>
      </w:r>
      <w:r w:rsidR="008605F9">
        <w:t>20</w:t>
      </w:r>
      <w:r>
        <w:t xml:space="preserve">. </w:t>
      </w:r>
      <w:r w:rsidR="00BA7A99">
        <w:t xml:space="preserve">října </w:t>
      </w:r>
      <w:r w:rsidRPr="00893890">
        <w:t>202</w:t>
      </w:r>
      <w:r>
        <w:t>6</w:t>
      </w:r>
    </w:p>
    <w:p w14:paraId="7C01C475" w14:textId="77777777" w:rsidR="00F93F3C" w:rsidRDefault="00F93F3C" w:rsidP="00BA7A99">
      <w:pPr>
        <w:spacing w:line="360" w:lineRule="auto"/>
        <w:rPr>
          <w:b/>
          <w:bCs/>
          <w:kern w:val="28"/>
          <w:sz w:val="28"/>
          <w:szCs w:val="28"/>
        </w:rPr>
      </w:pPr>
      <w:r w:rsidRPr="00F93F3C">
        <w:rPr>
          <w:b/>
          <w:bCs/>
          <w:kern w:val="28"/>
          <w:sz w:val="28"/>
          <w:szCs w:val="28"/>
        </w:rPr>
        <w:t xml:space="preserve">Za hranice amerických mega caps: jiný pohled na americké akcie </w:t>
      </w:r>
    </w:p>
    <w:p w14:paraId="7A84A6B0" w14:textId="77777777" w:rsidR="00F93F3C" w:rsidRPr="00F93F3C" w:rsidRDefault="00F93F3C" w:rsidP="00F93F3C">
      <w:pPr>
        <w:spacing w:line="360" w:lineRule="auto"/>
        <w:rPr>
          <w:b/>
          <w:bCs/>
        </w:rPr>
      </w:pPr>
      <w:r w:rsidRPr="00F93F3C">
        <w:rPr>
          <w:b/>
          <w:bCs/>
        </w:rPr>
        <w:t>Americké akcie nadále těží z odolného hospodářského růstu, solidních firemních zisků a větších investic do umělé inteligence. Obavy z přílišné koncentrace tržního růstu, vysokých valuací a nejistějšího prostředí úrokových sazeb ale naznačují, že by se investoři v další vývojové fázi trhu a při hledání nových příležitostí měli poohlédnout i mimo známé společnosti s největší tržní kapitalizací.</w:t>
      </w:r>
    </w:p>
    <w:p w14:paraId="04A48011" w14:textId="77777777" w:rsidR="00F93F3C" w:rsidRPr="00F93F3C" w:rsidRDefault="00F93F3C" w:rsidP="00F93F3C">
      <w:pPr>
        <w:rPr>
          <w:rFonts w:eastAsia="MS Mincho"/>
          <w:b/>
          <w:bCs/>
          <w:lang w:eastAsia="ja-JP"/>
        </w:rPr>
      </w:pPr>
      <w:r w:rsidRPr="00F93F3C">
        <w:rPr>
          <w:rFonts w:eastAsia="MS Mincho"/>
          <w:b/>
          <w:bCs/>
          <w:lang w:eastAsia="ja-JP"/>
        </w:rPr>
        <w:t>Max Dawe, obchodní ředitel ETF, Fidelity International</w:t>
      </w:r>
    </w:p>
    <w:p w14:paraId="35D1BC21" w14:textId="77777777" w:rsidR="00F93F3C" w:rsidRPr="00F93F3C" w:rsidRDefault="00F93F3C" w:rsidP="00F93F3C">
      <w:pPr>
        <w:numPr>
          <w:ilvl w:val="0"/>
          <w:numId w:val="31"/>
        </w:numPr>
        <w:rPr>
          <w:rFonts w:eastAsia="MS Mincho"/>
          <w:lang w:eastAsia="ja-JP"/>
        </w:rPr>
      </w:pPr>
      <w:r w:rsidRPr="00F93F3C">
        <w:rPr>
          <w:rFonts w:eastAsia="MS Mincho"/>
          <w:lang w:eastAsia="ja-JP"/>
        </w:rPr>
        <w:t>Solidní firemní zisky nadále podporují americké akcie. Přetrvávající inflace, vyšší náklady na financování a koncentrace tržního růstu do úzké skupiny společností však zvyšují význam disciplinovaného přístupu k valuacím a pečlivého výběru jednotlivých akcií.</w:t>
      </w:r>
    </w:p>
    <w:p w14:paraId="4A2B216B" w14:textId="77777777" w:rsidR="00F93F3C" w:rsidRPr="00F93F3C" w:rsidRDefault="00F93F3C" w:rsidP="00F93F3C">
      <w:pPr>
        <w:numPr>
          <w:ilvl w:val="0"/>
          <w:numId w:val="31"/>
        </w:numPr>
        <w:rPr>
          <w:rFonts w:eastAsia="MS Mincho"/>
          <w:lang w:eastAsia="ja-JP"/>
        </w:rPr>
      </w:pPr>
      <w:r w:rsidRPr="00F93F3C">
        <w:rPr>
          <w:rFonts w:eastAsia="MS Mincho"/>
          <w:lang w:eastAsia="ja-JP"/>
        </w:rPr>
        <w:t>Malé a středně velké společnosti nabízejí přístup k širšímu a méně prozkoumanému souboru investičních příležitostí. Jejich ocenění přitom zůstává výrazně nižší než u společností s velkou tržní kapitalizací.</w:t>
      </w:r>
    </w:p>
    <w:p w14:paraId="73ADE122" w14:textId="77777777" w:rsidR="00F93F3C" w:rsidRPr="00F93F3C" w:rsidRDefault="00F93F3C" w:rsidP="00F93F3C">
      <w:pPr>
        <w:numPr>
          <w:ilvl w:val="0"/>
          <w:numId w:val="31"/>
        </w:numPr>
        <w:rPr>
          <w:rFonts w:eastAsia="MS Mincho"/>
          <w:lang w:eastAsia="ja-JP"/>
        </w:rPr>
      </w:pPr>
      <w:r w:rsidRPr="00F93F3C">
        <w:rPr>
          <w:rFonts w:eastAsia="MS Mincho"/>
          <w:lang w:eastAsia="ja-JP"/>
        </w:rPr>
        <w:t>Rok po uvedení řady ETF Fidelity Fundamental Equity nabízí fond Fidelity US Fundamental Small-Mid Cap UCITS ETF aktivně řízenou možnost investovat do této méně prozkoumané části amerického trhu.</w:t>
      </w:r>
    </w:p>
    <w:p w14:paraId="70A2B854" w14:textId="77777777" w:rsidR="00F93F3C" w:rsidRPr="00F93F3C" w:rsidRDefault="00F93F3C" w:rsidP="00F93F3C">
      <w:pPr>
        <w:rPr>
          <w:rFonts w:eastAsia="MS Mincho"/>
          <w:lang w:eastAsia="ja-JP"/>
        </w:rPr>
      </w:pPr>
      <w:r w:rsidRPr="00F93F3C">
        <w:rPr>
          <w:rFonts w:eastAsia="MS Mincho"/>
          <w:lang w:eastAsia="ja-JP"/>
        </w:rPr>
        <w:t>Americká ekonomika nadále prokazuje značnou odolnost. Hospodářskou aktivitu podporují spotřebitelské výdaje, zdravé firemní rozvahy a investice související s umělou inteligencí. Růst zisků v poslední době navíc přesáhl hranice technologických společností s největší tržní kapitalizací. To vytváří celkově příznivý základ pro další vývoj amerických akcií.</w:t>
      </w:r>
    </w:p>
    <w:p w14:paraId="2D866CC5" w14:textId="77777777" w:rsidR="00F93F3C" w:rsidRPr="00F93F3C" w:rsidRDefault="00F93F3C" w:rsidP="00F93F3C">
      <w:pPr>
        <w:rPr>
          <w:rFonts w:eastAsia="MS Mincho"/>
          <w:lang w:eastAsia="ja-JP"/>
        </w:rPr>
      </w:pPr>
      <w:r w:rsidRPr="00F93F3C">
        <w:rPr>
          <w:rFonts w:eastAsia="MS Mincho"/>
          <w:lang w:eastAsia="ja-JP"/>
        </w:rPr>
        <w:t>„</w:t>
      </w:r>
      <w:r w:rsidRPr="00F93F3C">
        <w:rPr>
          <w:rFonts w:eastAsia="MS Mincho"/>
          <w:i/>
          <w:iCs/>
          <w:lang w:eastAsia="ja-JP"/>
        </w:rPr>
        <w:t>Podle našeho názoru se však podmínky pro pokračování růstu postupně zpřísňují. Inflace zůstává zvýšená a úrokové sazby opět rostou, takže prostředí pro úvěrové financování může zůstat restriktivní déle, než se původně očekávalo. Další tlak představují vyšší ceny energií a geopolitická nejistota, které mohou zvyšovat náklady firem na financování a zároveň klást vyšší nároky na ocenění akcií. Za těchto okolností trhy stále výrazněji rozlišují mezi společnostmi, které dokážou své investice proměnit v peněžní toky, a těmi, jejichž ocenění stojí především na očekáváních budoucího vývoje</w:t>
      </w:r>
      <w:r w:rsidRPr="00F93F3C">
        <w:rPr>
          <w:rFonts w:eastAsia="MS Mincho"/>
          <w:lang w:eastAsia="ja-JP"/>
        </w:rPr>
        <w:t>,“ vysvětluje Max Dawe, obchodní ředitel ETF, Fidelity International.</w:t>
      </w:r>
    </w:p>
    <w:p w14:paraId="19079DF5" w14:textId="77777777" w:rsidR="00F93F3C" w:rsidRPr="00F93F3C" w:rsidRDefault="00F93F3C" w:rsidP="00F93F3C">
      <w:pPr>
        <w:rPr>
          <w:rFonts w:eastAsia="MS Mincho"/>
          <w:lang w:eastAsia="ja-JP"/>
        </w:rPr>
      </w:pPr>
      <w:r w:rsidRPr="00F93F3C">
        <w:rPr>
          <w:rFonts w:eastAsia="MS Mincho"/>
          <w:lang w:eastAsia="ja-JP"/>
        </w:rPr>
        <w:t xml:space="preserve">To je obzvlášť důležité v souvislosti s umělou inteligencí. Investice do polovodičů, datových center, síťové infrastruktury, energetických systémů a softwaru nadále podporují zisky napříč širším technologickým ekosystémem. Příležitosti se začínají rozšiřovat také do průmyslu, další výroby, finančnictví a obecně k firmám, které dokážou umělou inteligenci využít ke zvýšení současné produktivity a růstu příjmů, nikoli pouze k příslibu budoucích přínosů. Vývoj však pravděpodobně nebude ve všech oblastech stejný. S postupujícím investičním cyklem bude důležitější skutečné naplňování </w:t>
      </w:r>
      <w:r w:rsidRPr="00F93F3C">
        <w:rPr>
          <w:rFonts w:eastAsia="MS Mincho"/>
          <w:lang w:eastAsia="ja-JP"/>
        </w:rPr>
        <w:lastRenderedPageBreak/>
        <w:t>očekávání ohledně zisků a schopnost přeměnit technologické investice na výnosy než pouhá příslušnost k určitému investičnímu tématu.</w:t>
      </w:r>
    </w:p>
    <w:p w14:paraId="5443720E" w14:textId="097A2D77" w:rsidR="00F93F3C" w:rsidRPr="00F93F3C" w:rsidRDefault="00F93F3C" w:rsidP="00F93F3C">
      <w:pPr>
        <w:rPr>
          <w:rFonts w:eastAsia="MS Mincho"/>
          <w:lang w:eastAsia="ja-JP"/>
        </w:rPr>
      </w:pPr>
      <w:r w:rsidRPr="00F93F3C">
        <w:rPr>
          <w:rFonts w:eastAsia="MS Mincho"/>
          <w:lang w:eastAsia="ja-JP"/>
        </w:rPr>
        <w:t>Zároveň zůstává vedení trhu vysoce koncentrované. Technologické společnosti s největší tržní kapitalizací nadále představují významnou část širokého amerického akciového trhu, takže řada investorů podléhá relativně úzké skupině firem a faktorů, které ovlivňují jejich výnosy.</w:t>
      </w:r>
    </w:p>
    <w:p w14:paraId="3A7B69D0" w14:textId="06EE82BF" w:rsidR="00F93F3C" w:rsidRPr="00F93F3C" w:rsidRDefault="00F93F3C" w:rsidP="00F93F3C">
      <w:pPr>
        <w:rPr>
          <w:rFonts w:eastAsia="MS Mincho"/>
          <w:b/>
          <w:bCs/>
          <w:lang w:eastAsia="ja-JP"/>
        </w:rPr>
      </w:pPr>
      <w:r w:rsidRPr="00F93F3C">
        <w:rPr>
          <w:rFonts w:eastAsia="MS Mincho"/>
          <w:b/>
          <w:bCs/>
          <w:lang w:eastAsia="ja-JP"/>
        </w:rPr>
        <w:t>Proč se zaměřit na společnosti s menší tržní kapitalizací?</w:t>
      </w:r>
    </w:p>
    <w:p w14:paraId="2B972B87" w14:textId="5124B0D1" w:rsidR="00F93F3C" w:rsidRPr="00F93F3C" w:rsidRDefault="00F93F3C" w:rsidP="00F93F3C">
      <w:pPr>
        <w:rPr>
          <w:rFonts w:eastAsia="MS Mincho"/>
          <w:lang w:eastAsia="ja-JP"/>
        </w:rPr>
      </w:pPr>
      <w:r w:rsidRPr="00F93F3C">
        <w:rPr>
          <w:rFonts w:eastAsia="MS Mincho"/>
          <w:lang w:eastAsia="ja-JP"/>
        </w:rPr>
        <w:t>Vzhledem k celkově příznivému prostředí a potenciálu dalšího růstu na celém trhu nemusí ošetření nově vznikajících rizik nutně představovat snížení expozice vůči americkým akciím. Současná situace naopak posiluje argumenty pro selektivnější investování a rozšíření záběru na společnosti různých velikostí.</w:t>
      </w:r>
    </w:p>
    <w:p w14:paraId="616DA126" w14:textId="394806BF" w:rsidR="00F93F3C" w:rsidRPr="00F93F3C" w:rsidRDefault="00F93F3C" w:rsidP="00F93F3C">
      <w:pPr>
        <w:rPr>
          <w:rFonts w:eastAsia="MS Mincho"/>
          <w:lang w:eastAsia="ja-JP"/>
        </w:rPr>
      </w:pPr>
      <w:r w:rsidRPr="00F93F3C">
        <w:rPr>
          <w:rFonts w:eastAsia="MS Mincho"/>
          <w:lang w:eastAsia="ja-JP"/>
        </w:rPr>
        <w:t>Malé a středně velké společnosti byly několik let ve stínu největších firem. Zájem investorů o tento segment zůstává utlumený a jeho ocenění se ve srovnání s velkými společnostmi pohybuje poblíž nejnižších relativních úrovní za několik desetiletí, ačkoli v posledních měsících se objevují známky obratu. Menší americké společnosti mají také zpravidla větší orientaci na domácí trh, což může znamenat menší přímou expozici vůči globálním makroekonomickým otřesům a geopolitické nejistotě.</w:t>
      </w:r>
    </w:p>
    <w:p w14:paraId="45CC171B" w14:textId="463D0657" w:rsidR="00F93F3C" w:rsidRPr="00F93F3C" w:rsidRDefault="00F93F3C" w:rsidP="00F93F3C">
      <w:pPr>
        <w:rPr>
          <w:rFonts w:eastAsia="MS Mincho"/>
          <w:lang w:eastAsia="ja-JP"/>
        </w:rPr>
      </w:pPr>
      <w:r w:rsidRPr="00F93F3C">
        <w:rPr>
          <w:rFonts w:eastAsia="MS Mincho"/>
          <w:lang w:eastAsia="ja-JP"/>
        </w:rPr>
        <w:t>Relativní výkonnost indexů malých a velkých společností</w:t>
      </w:r>
    </w:p>
    <w:p w14:paraId="7B08832A" w14:textId="07A015A0" w:rsidR="00F93F3C" w:rsidRPr="00F93F3C" w:rsidRDefault="00F93F3C" w:rsidP="00F93F3C">
      <w:pPr>
        <w:pStyle w:val="F2-zkladn"/>
        <w:rPr>
          <w:lang w:eastAsia="ja-JP"/>
        </w:rPr>
      </w:pPr>
      <w:r w:rsidRPr="00F93F3C">
        <w:rPr>
          <w:noProof/>
          <w:lang w:eastAsia="ja-JP"/>
        </w:rPr>
        <w:drawing>
          <wp:anchor distT="0" distB="0" distL="114300" distR="114300" simplePos="0" relativeHeight="251659264" behindDoc="1" locked="0" layoutInCell="1" allowOverlap="1" wp14:anchorId="3549C610" wp14:editId="211DBFBB">
            <wp:simplePos x="0" y="0"/>
            <wp:positionH relativeFrom="margin">
              <wp:posOffset>-100330</wp:posOffset>
            </wp:positionH>
            <wp:positionV relativeFrom="paragraph">
              <wp:posOffset>434340</wp:posOffset>
            </wp:positionV>
            <wp:extent cx="5759450" cy="2727325"/>
            <wp:effectExtent l="0" t="0" r="0" b="0"/>
            <wp:wrapTight wrapText="bothSides">
              <wp:wrapPolygon edited="0">
                <wp:start x="0" y="0"/>
                <wp:lineTo x="0" y="21424"/>
                <wp:lineTo x="21505" y="21424"/>
                <wp:lineTo x="21505" y="0"/>
                <wp:lineTo x="0" y="0"/>
              </wp:wrapPolygon>
            </wp:wrapTight>
            <wp:docPr id="971551631"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551631" name="Obrázek 971551631"/>
                    <pic:cNvPicPr/>
                  </pic:nvPicPr>
                  <pic:blipFill>
                    <a:blip r:embed="rId11">
                      <a:extLst>
                        <a:ext uri="{28A0092B-C50C-407E-A947-70E740481C1C}">
                          <a14:useLocalDpi xmlns:a14="http://schemas.microsoft.com/office/drawing/2010/main" val="0"/>
                        </a:ext>
                      </a:extLst>
                    </a:blip>
                    <a:stretch>
                      <a:fillRect/>
                    </a:stretch>
                  </pic:blipFill>
                  <pic:spPr>
                    <a:xfrm>
                      <a:off x="0" y="0"/>
                      <a:ext cx="5759450" cy="2727325"/>
                    </a:xfrm>
                    <a:prstGeom prst="rect">
                      <a:avLst/>
                    </a:prstGeom>
                  </pic:spPr>
                </pic:pic>
              </a:graphicData>
            </a:graphic>
          </wp:anchor>
        </w:drawing>
      </w:r>
    </w:p>
    <w:p w14:paraId="419F3AA7" w14:textId="77777777" w:rsidR="00F93F3C" w:rsidRPr="00F93F3C" w:rsidRDefault="00F93F3C" w:rsidP="00F93F3C">
      <w:pPr>
        <w:rPr>
          <w:rFonts w:eastAsia="MS Mincho"/>
          <w:lang w:eastAsia="ja-JP"/>
        </w:rPr>
      </w:pPr>
      <w:r w:rsidRPr="00F93F3C">
        <w:rPr>
          <w:rFonts w:eastAsia="MS Mincho"/>
          <w:i/>
          <w:iCs/>
          <w:lang w:eastAsia="ja-JP"/>
        </w:rPr>
        <w:t xml:space="preserve"> 5. 1. 2021 až 31. 7. 2026.</w:t>
      </w:r>
    </w:p>
    <w:p w14:paraId="1499FC53" w14:textId="77777777" w:rsidR="00F93F3C" w:rsidRPr="00F93F3C" w:rsidRDefault="00F93F3C" w:rsidP="00F93F3C">
      <w:pPr>
        <w:rPr>
          <w:rFonts w:eastAsia="MS Mincho"/>
          <w:lang w:eastAsia="ja-JP"/>
        </w:rPr>
      </w:pPr>
      <w:r w:rsidRPr="00F93F3C">
        <w:rPr>
          <w:rFonts w:eastAsia="MS Mincho"/>
          <w:lang w:eastAsia="ja-JP"/>
        </w:rPr>
        <w:t>Minulá výkonnost není zárukou budoucích výsledků.</w:t>
      </w:r>
    </w:p>
    <w:p w14:paraId="7271C5F4" w14:textId="77777777" w:rsidR="00F93F3C" w:rsidRPr="00F93F3C" w:rsidRDefault="00F93F3C" w:rsidP="00F93F3C">
      <w:pPr>
        <w:rPr>
          <w:rFonts w:eastAsia="MS Mincho"/>
          <w:lang w:eastAsia="ja-JP"/>
        </w:rPr>
      </w:pPr>
      <w:r w:rsidRPr="00F93F3C">
        <w:rPr>
          <w:rFonts w:eastAsia="MS Mincho"/>
          <w:lang w:eastAsia="ja-JP"/>
        </w:rPr>
        <w:t>Zdroj: Fidelity International / Bloomberg, září 2026. Data z Bloombergu k 31. 7. 2026.</w:t>
      </w:r>
    </w:p>
    <w:p w14:paraId="11C41EA0" w14:textId="77777777" w:rsidR="00F93F3C" w:rsidRPr="00F93F3C" w:rsidRDefault="00F93F3C" w:rsidP="00F93F3C">
      <w:pPr>
        <w:rPr>
          <w:rFonts w:eastAsia="MS Mincho"/>
          <w:lang w:eastAsia="ja-JP"/>
        </w:rPr>
      </w:pPr>
      <w:r w:rsidRPr="00F93F3C">
        <w:rPr>
          <w:rFonts w:eastAsia="MS Mincho"/>
          <w:lang w:eastAsia="ja-JP"/>
        </w:rPr>
        <w:t xml:space="preserve">Relativní růst hodnoty akcií malých a středně velkých společností od začátku roku 2025 má několik konkrétních příčin. Obecně však platí, že překážky, které tento segment dříve omezovaly, postupně slábnou. Menší společnosti byly obzvlášť citlivé na prudký růst nákladů na úvěrové financování v letech </w:t>
      </w:r>
      <w:r w:rsidRPr="00F93F3C">
        <w:rPr>
          <w:rFonts w:eastAsia="MS Mincho"/>
          <w:lang w:eastAsia="ja-JP"/>
        </w:rPr>
        <w:lastRenderedPageBreak/>
        <w:t>2022 a 2023. Mnohé z nich se však již s podstatnou částí tohoto zvýšení nákladů vypořádaly, takže případné další zvyšování sazeb na ně pravděpodobně bude mít menší dopad. Některé větší společnosti naopak čeká refinancování starších dluhů s nízkou pevnou úrokovou sazbou v prostředí vyšších sazeb, což může vést k významnému nárůstu úrokových nákladů.</w:t>
      </w:r>
    </w:p>
    <w:p w14:paraId="2BD792B4" w14:textId="77777777" w:rsidR="00F93F3C" w:rsidRPr="00F93F3C" w:rsidRDefault="00F93F3C" w:rsidP="00F93F3C">
      <w:pPr>
        <w:rPr>
          <w:rFonts w:eastAsia="MS Mincho"/>
          <w:lang w:eastAsia="ja-JP"/>
        </w:rPr>
      </w:pPr>
      <w:r w:rsidRPr="00F93F3C">
        <w:rPr>
          <w:rFonts w:eastAsia="MS Mincho"/>
          <w:lang w:eastAsia="ja-JP"/>
        </w:rPr>
        <w:t>Zmírnil se také tlak na mzdové náklady. Růst mezd v USA výrazně zpomalil oproti vrcholu z roku 2022, což snižuje tlak na ziskové marže. V delším horizontu by širší využívání umělé inteligence a automatizace mohlo přinést další zvýšení produktivity, zejména u firem, jejichž činnost je náročná na pracovní sílu.</w:t>
      </w:r>
    </w:p>
    <w:p w14:paraId="0823CE2C" w14:textId="77777777" w:rsidR="00F93F3C" w:rsidRPr="00F93F3C" w:rsidRDefault="00F93F3C" w:rsidP="00F93F3C">
      <w:pPr>
        <w:rPr>
          <w:rFonts w:eastAsia="MS Mincho"/>
          <w:lang w:eastAsia="ja-JP"/>
        </w:rPr>
      </w:pPr>
      <w:r w:rsidRPr="00F93F3C">
        <w:rPr>
          <w:rFonts w:eastAsia="MS Mincho"/>
          <w:lang w:eastAsia="ja-JP"/>
        </w:rPr>
        <w:t>V situaci, kdy si americký akciový trh zachovává potenciál dalšího růstu, ale zároveň se stává složitějším, mohou investice do společností s menší tržní kapitalizací nabídnout zajímavé příležitosti. Pokud se navíc nálada investorů zhorší, mohl by tento segment vykázat větší odolnost než akcie velkých společností. Mnoho investorů je totiž v menších firmách zastoupeno jen omezeně a jejich ocenění je relativně nízké, takže případný prodejní tlak by mohl být menší. Kombinace nízkých valuací, zlepšujících se fundamentálních ukazatelů a nízkého zastoupení v investorských portfoliích tak může vytvářet atraktivnější poměr mezi rizikem a potenciálním výnosem, než by se na první pohled mohlo zdát.</w:t>
      </w:r>
    </w:p>
    <w:p w14:paraId="60A92C19" w14:textId="77777777" w:rsidR="00F93F3C" w:rsidRPr="00F93F3C" w:rsidRDefault="00F93F3C" w:rsidP="00F93F3C">
      <w:pPr>
        <w:rPr>
          <w:rFonts w:eastAsia="MS Mincho"/>
          <w:b/>
          <w:bCs/>
          <w:lang w:eastAsia="ja-JP"/>
        </w:rPr>
      </w:pPr>
      <w:r w:rsidRPr="00F93F3C">
        <w:rPr>
          <w:rFonts w:eastAsia="MS Mincho"/>
          <w:b/>
          <w:bCs/>
          <w:lang w:eastAsia="ja-JP"/>
        </w:rPr>
        <w:t>Širší okruh příležitostí pro aktivní investory</w:t>
      </w:r>
    </w:p>
    <w:p w14:paraId="550DAB2C" w14:textId="686DFCF0" w:rsidR="00F93F3C" w:rsidRPr="00F93F3C" w:rsidRDefault="00F93F3C" w:rsidP="00F93F3C">
      <w:pPr>
        <w:rPr>
          <w:rFonts w:eastAsia="MS Mincho"/>
          <w:lang w:eastAsia="ja-JP"/>
        </w:rPr>
      </w:pPr>
      <w:r w:rsidRPr="00F93F3C">
        <w:rPr>
          <w:rFonts w:eastAsia="MS Mincho"/>
          <w:lang w:eastAsia="ja-JP"/>
        </w:rPr>
        <w:t>Argumenty pro zaměření se na společnosti s menší tržní kapitalizací souvisí také s dostupností investičních příležitostí. Americký segment malých a středně velkých společností zahrnuje větší počet firem, analytici na straně prodejců mu ale věnují méně pozornosti a rozdíly mezi očekávanými zisky jednotlivých společností i jejich akciovými výnosy jsou v těchto segmentech větší než na trhu velkých společností.</w:t>
      </w:r>
    </w:p>
    <w:p w14:paraId="086CAD00" w14:textId="74EC85E2" w:rsidR="00F93F3C" w:rsidRPr="00F93F3C" w:rsidRDefault="00F93F3C" w:rsidP="00F93F3C">
      <w:pPr>
        <w:rPr>
          <w:rFonts w:eastAsia="MS Mincho"/>
          <w:lang w:eastAsia="ja-JP"/>
        </w:rPr>
      </w:pPr>
      <w:r w:rsidRPr="00F93F3C">
        <w:rPr>
          <w:rFonts w:eastAsia="MS Mincho"/>
          <w:lang w:eastAsia="ja-JP"/>
        </w:rPr>
        <w:t>To vytváří vhodné prostředí pro vyhledávání investičních příležitostí díky fundamentální analýze. V každém z posledních 18 kalendářních let byla průměrná výkonnost akcií z nejlepšího kvartálu indexu Russell 2500 vyšší než výkonnost akcií z nejlepšího kvartilu indexu S&amp;P 500. Tato dlouhodobá konzistence ukazuje na často přehlíženou vlastnost této investiční třídy: i když mohou malé a středně velké společnosti v některých obdobích zaostávat z hlediska výkonnosti celého indexu, stále nabízejí široký výběr mimořádně úspěšných titulů pro investory, kteří mají potřebné nástroje k jejich rozpoznání.</w:t>
      </w:r>
    </w:p>
    <w:p w14:paraId="4C358FB2" w14:textId="1E56AA8A" w:rsidR="00F93F3C" w:rsidRPr="00F93F3C" w:rsidRDefault="00F93F3C" w:rsidP="00F93F3C">
      <w:pPr>
        <w:rPr>
          <w:rFonts w:eastAsia="MS Mincho"/>
          <w:lang w:eastAsia="ja-JP"/>
        </w:rPr>
      </w:pPr>
      <w:r w:rsidRPr="00F93F3C">
        <w:rPr>
          <w:rFonts w:eastAsia="MS Mincho"/>
          <w:lang w:eastAsia="ja-JP"/>
        </w:rPr>
        <w:t>Průměrná výkonnost akcií z nejlepšího kvartilu podle počtu titulů: malé a středně velké společnosti v USA ve srovnání s velkými společnostmi v USA</w:t>
      </w:r>
    </w:p>
    <w:p w14:paraId="3DD6906E" w14:textId="7A9E572E" w:rsidR="00F93F3C" w:rsidRPr="00F93F3C" w:rsidRDefault="00F93F3C" w:rsidP="00F93F3C">
      <w:pPr>
        <w:rPr>
          <w:rFonts w:eastAsia="MS Mincho"/>
          <w:lang w:eastAsia="ja-JP"/>
        </w:rPr>
      </w:pPr>
      <w:r w:rsidRPr="00F93F3C">
        <w:rPr>
          <w:noProof/>
          <w:lang w:eastAsia="ja-JP"/>
        </w:rPr>
        <w:lastRenderedPageBreak/>
        <w:drawing>
          <wp:anchor distT="0" distB="0" distL="114300" distR="114300" simplePos="0" relativeHeight="251658240" behindDoc="1" locked="0" layoutInCell="1" allowOverlap="1" wp14:anchorId="75801516" wp14:editId="6C907A74">
            <wp:simplePos x="0" y="0"/>
            <wp:positionH relativeFrom="column">
              <wp:posOffset>13970</wp:posOffset>
            </wp:positionH>
            <wp:positionV relativeFrom="paragraph">
              <wp:posOffset>594360</wp:posOffset>
            </wp:positionV>
            <wp:extent cx="5759450" cy="2811780"/>
            <wp:effectExtent l="0" t="0" r="0" b="7620"/>
            <wp:wrapTight wrapText="bothSides">
              <wp:wrapPolygon edited="0">
                <wp:start x="0" y="0"/>
                <wp:lineTo x="0" y="21512"/>
                <wp:lineTo x="21505" y="21512"/>
                <wp:lineTo x="21505" y="0"/>
                <wp:lineTo x="0" y="0"/>
              </wp:wrapPolygon>
            </wp:wrapTight>
            <wp:docPr id="17169396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693969" name="Obrázek 171693969"/>
                    <pic:cNvPicPr/>
                  </pic:nvPicPr>
                  <pic:blipFill>
                    <a:blip r:embed="rId12">
                      <a:extLst>
                        <a:ext uri="{28A0092B-C50C-407E-A947-70E740481C1C}">
                          <a14:useLocalDpi xmlns:a14="http://schemas.microsoft.com/office/drawing/2010/main" val="0"/>
                        </a:ext>
                      </a:extLst>
                    </a:blip>
                    <a:stretch>
                      <a:fillRect/>
                    </a:stretch>
                  </pic:blipFill>
                  <pic:spPr>
                    <a:xfrm>
                      <a:off x="0" y="0"/>
                      <a:ext cx="5759450" cy="2811780"/>
                    </a:xfrm>
                    <a:prstGeom prst="rect">
                      <a:avLst/>
                    </a:prstGeom>
                  </pic:spPr>
                </pic:pic>
              </a:graphicData>
            </a:graphic>
          </wp:anchor>
        </w:drawing>
      </w:r>
      <w:r w:rsidRPr="00F93F3C">
        <w:rPr>
          <w:rFonts w:eastAsia="MS Mincho"/>
          <w:lang w:eastAsia="ja-JP"/>
        </w:rPr>
        <w:t>Minulá výkonnost není zárukou budoucích výsledků.</w:t>
      </w:r>
    </w:p>
    <w:p w14:paraId="33B3F31E" w14:textId="79EC55A3" w:rsidR="00F93F3C" w:rsidRPr="00F93F3C" w:rsidRDefault="00F93F3C" w:rsidP="00F93F3C">
      <w:pPr>
        <w:pStyle w:val="F2-zkladn"/>
        <w:rPr>
          <w:lang w:eastAsia="ja-JP"/>
        </w:rPr>
      </w:pPr>
    </w:p>
    <w:p w14:paraId="6B6FB3F6" w14:textId="77777777" w:rsidR="00F93F3C" w:rsidRPr="00F93F3C" w:rsidRDefault="00F93F3C" w:rsidP="00F93F3C">
      <w:pPr>
        <w:rPr>
          <w:rFonts w:eastAsia="MS Mincho"/>
          <w:lang w:eastAsia="ja-JP"/>
        </w:rPr>
      </w:pPr>
      <w:r w:rsidRPr="00F93F3C">
        <w:rPr>
          <w:rFonts w:eastAsia="MS Mincho"/>
          <w:lang w:eastAsia="ja-JP"/>
        </w:rPr>
        <w:t>Zdroj: Fidelity International, Bloomberg, k 31. 7. 2026.</w:t>
      </w:r>
    </w:p>
    <w:p w14:paraId="3757C2B4" w14:textId="77777777" w:rsidR="00F93F3C" w:rsidRPr="00F93F3C" w:rsidRDefault="00F93F3C" w:rsidP="00F93F3C">
      <w:pPr>
        <w:rPr>
          <w:rFonts w:eastAsia="MS Mincho"/>
          <w:lang w:eastAsia="ja-JP"/>
        </w:rPr>
      </w:pPr>
      <w:r w:rsidRPr="00F93F3C">
        <w:rPr>
          <w:rFonts w:eastAsia="MS Mincho"/>
          <w:lang w:eastAsia="ja-JP"/>
        </w:rPr>
        <w:t>Spojení fundamentální analýzy se systematickým přístupem</w:t>
      </w:r>
    </w:p>
    <w:p w14:paraId="3CD5413E" w14:textId="77777777" w:rsidR="00F93F3C" w:rsidRPr="00F93F3C" w:rsidRDefault="00F93F3C" w:rsidP="00F93F3C">
      <w:pPr>
        <w:rPr>
          <w:rFonts w:eastAsia="MS Mincho"/>
          <w:lang w:eastAsia="ja-JP"/>
        </w:rPr>
      </w:pPr>
      <w:r w:rsidRPr="00F93F3C">
        <w:rPr>
          <w:rFonts w:eastAsia="MS Mincho"/>
          <w:lang w:eastAsia="ja-JP"/>
        </w:rPr>
        <w:t>Fond Fidelity US Fundamental Small-Mid Cap UCITS ETF byl vytvořen, aby využil těchto tržních neefektivit skrze aktivní přesvědčivé investiční strategie o výběru jednotlivých titulů. Investiční proces kombinuje poznatky portfolio manažerů společnosti Fidelity Investments a čerpá z různých investičních stylů a pohledů analytiků celé společnosti. Tak pomáhá identifikovat akcie, u nichž jsou jednotliví portfolio manažeři nejvíc přesvědčení. Následná konstrukce portfolia propojuje tyto fundamentální poznatky se systematickým procesem, který účinně řídí případné nezamýšlené odchylky v investičním stylu nebo sektorovém zastoupení.</w:t>
      </w:r>
    </w:p>
    <w:p w14:paraId="5C34B6CC" w14:textId="77777777" w:rsidR="00F93F3C" w:rsidRPr="00F93F3C" w:rsidRDefault="00F93F3C" w:rsidP="00F93F3C">
      <w:pPr>
        <w:rPr>
          <w:rFonts w:eastAsia="MS Mincho"/>
          <w:lang w:eastAsia="ja-JP"/>
        </w:rPr>
      </w:pPr>
      <w:r w:rsidRPr="00F93F3C">
        <w:rPr>
          <w:rFonts w:eastAsia="MS Mincho"/>
          <w:lang w:eastAsia="ja-JP"/>
        </w:rPr>
        <w:t>Výsledné portfolio poskytuje přístup k široké škále investičních příležitostí založených na výzkumu a analýze, aniž by záviselo na jediném portfolio manažerovi. Struktura ETF je navíc navržena tak, aby chránila vlastní investiční poznatky společnosti. To je důležité zejména v méně likvidních a méně analyzovaných částech trhu a zároveň to pomáhá zajistit efektivní ceny při obchodování.</w:t>
      </w:r>
    </w:p>
    <w:p w14:paraId="6D5590B1" w14:textId="77777777" w:rsidR="00F93F3C" w:rsidRPr="00F93F3C" w:rsidRDefault="00F93F3C" w:rsidP="00F93F3C">
      <w:pPr>
        <w:rPr>
          <w:rFonts w:eastAsia="MS Mincho"/>
          <w:lang w:eastAsia="ja-JP"/>
        </w:rPr>
      </w:pPr>
      <w:r w:rsidRPr="00F93F3C">
        <w:rPr>
          <w:rFonts w:eastAsia="MS Mincho"/>
          <w:lang w:eastAsia="ja-JP"/>
        </w:rPr>
        <w:t>V rámci širší akciové alokace může tato strategie pomoci diverzifikovat investice mimo společnosti s největší tržní kapitalizací, zvýšit zastoupení domácích akcií americké ekonomiky a zpřístupnit příležitosti jednotlivých firem, které nemusí být v indexech velkých společností dostatečně zastoupeny.</w:t>
      </w:r>
    </w:p>
    <w:p w14:paraId="069CB550" w14:textId="77777777" w:rsidR="00F93F3C" w:rsidRPr="00F93F3C" w:rsidRDefault="00F93F3C" w:rsidP="00F93F3C">
      <w:pPr>
        <w:rPr>
          <w:rFonts w:eastAsia="MS Mincho"/>
          <w:lang w:eastAsia="ja-JP"/>
        </w:rPr>
      </w:pPr>
      <w:r w:rsidRPr="00F93F3C">
        <w:rPr>
          <w:rFonts w:eastAsia="MS Mincho"/>
          <w:lang w:eastAsia="ja-JP"/>
        </w:rPr>
        <w:t>Rok rozšiřování investičních příležitostí</w:t>
      </w:r>
    </w:p>
    <w:p w14:paraId="44E47DD4" w14:textId="77777777" w:rsidR="00F93F3C" w:rsidRPr="00F93F3C" w:rsidRDefault="00F93F3C" w:rsidP="00F93F3C">
      <w:pPr>
        <w:rPr>
          <w:rFonts w:eastAsia="MS Mincho"/>
          <w:lang w:eastAsia="ja-JP"/>
        </w:rPr>
      </w:pPr>
      <w:r w:rsidRPr="00F93F3C">
        <w:rPr>
          <w:rFonts w:eastAsia="MS Mincho"/>
          <w:lang w:eastAsia="ja-JP"/>
        </w:rPr>
        <w:t>„</w:t>
      </w:r>
      <w:r w:rsidRPr="00F93F3C">
        <w:rPr>
          <w:rFonts w:eastAsia="MS Mincho"/>
          <w:i/>
          <w:iCs/>
          <w:lang w:eastAsia="ja-JP"/>
        </w:rPr>
        <w:t>Od uvedení řady ETF Fundamental Equity v září 2025 uplynul více než rok. Strategie si po tuto dobu zachovala zaměření na využití široké škály příležitostí v segmentu malých a středně velkých amerických společností. I přes období zvýšené volatility dosáhla dobrých výsledků a od svého vzniku překonala index Russell 2500,“</w:t>
      </w:r>
      <w:r w:rsidRPr="00F93F3C">
        <w:rPr>
          <w:rFonts w:eastAsia="MS Mincho"/>
          <w:lang w:eastAsia="ja-JP"/>
        </w:rPr>
        <w:t xml:space="preserve"> říká Max Dawe.</w:t>
      </w:r>
    </w:p>
    <w:p w14:paraId="0CBBF799" w14:textId="77777777" w:rsidR="00F93F3C" w:rsidRPr="00F93F3C" w:rsidRDefault="00F93F3C" w:rsidP="00F93F3C">
      <w:pPr>
        <w:rPr>
          <w:rFonts w:eastAsia="MS Mincho"/>
          <w:lang w:eastAsia="ja-JP"/>
        </w:rPr>
      </w:pPr>
      <w:r w:rsidRPr="00F93F3C">
        <w:rPr>
          <w:rFonts w:eastAsia="MS Mincho"/>
          <w:lang w:eastAsia="ja-JP"/>
        </w:rPr>
        <w:lastRenderedPageBreak/>
        <w:t>Z hlediska faktorů výkonnosti portfolia pomohla expozice vůči společnostem, které dokázaly těžit z rostoucích kapitálových výdajů v souvislosti s umělou inteligencí, zejména v oblastech paměťových technologií, polovodičů a digitální infrastruktury. Tyto společnosti jimž portfolio manažeři nejvíce důvěřovali, a proto zaujímaly významné pozice v portfoliu ETF.</w:t>
      </w:r>
    </w:p>
    <w:p w14:paraId="22166A4C" w14:textId="77777777" w:rsidR="00F93F3C" w:rsidRPr="00F93F3C" w:rsidRDefault="00F93F3C" w:rsidP="00F93F3C">
      <w:pPr>
        <w:rPr>
          <w:rFonts w:eastAsia="MS Mincho"/>
          <w:lang w:eastAsia="ja-JP"/>
        </w:rPr>
      </w:pPr>
      <w:r w:rsidRPr="00F93F3C">
        <w:rPr>
          <w:rFonts w:eastAsia="MS Mincho"/>
          <w:lang w:eastAsia="ja-JP"/>
        </w:rPr>
        <w:t>Nejvýraznějším tahounem výkonnosti od vzniku fondu byla společnost Lumentum. Podpořila ji prudce rostoucí poptávka po laserech pro datové komunikace a optických transceiverech v době, kdy poskytovatelé rozsáhlé cloudové infrastruktury zrychlovali investice do infrastruktury pro umělou inteligenci. Silné výnosy přinesla také společnost Seagate, která v indexu nemá zastoupení. Těžila z dlouhodobého růstu poptávky po pevných discích s vysokou kapacitou, jenž souvisí s investičním cyklem v oblasti umělé inteligence.</w:t>
      </w:r>
    </w:p>
    <w:p w14:paraId="50F8A48C" w14:textId="77777777" w:rsidR="00F93F3C" w:rsidRPr="00F93F3C" w:rsidRDefault="00F93F3C" w:rsidP="00F93F3C">
      <w:pPr>
        <w:rPr>
          <w:rFonts w:eastAsia="MS Mincho"/>
          <w:lang w:eastAsia="ja-JP"/>
        </w:rPr>
      </w:pPr>
      <w:r w:rsidRPr="00F93F3C">
        <w:rPr>
          <w:rFonts w:eastAsia="MS Mincho"/>
          <w:i/>
          <w:iCs/>
          <w:lang w:eastAsia="ja-JP"/>
        </w:rPr>
        <w:t>„Během uplynulého roku jsme zaznamenali řadu změn nálady investorů vůči americkému trhu, což zdůraznilo význam investování založeného na důkladném výzkumu. Posledních dvanáct měsíců nabídlo první ukázku toho, jak mohou aktivní správa a disciplinovaný výběr akcií odhalovat odlišné investiční příležitosti mimo největší americké společnosti. V prostředí vysoké koncentrace trhu a stále větších rozdílů v ocenění jednotlivých firem může zaměření se na společnosti s menší tržní kapitalizací investorům pomoci vytvořit širší a vyváženější expozici vůči americkým akciím,“</w:t>
      </w:r>
      <w:r w:rsidRPr="00F93F3C">
        <w:rPr>
          <w:rFonts w:eastAsia="MS Mincho"/>
          <w:lang w:eastAsia="ja-JP"/>
        </w:rPr>
        <w:t xml:space="preserve"> hodnotí Max Dawe.</w:t>
      </w:r>
    </w:p>
    <w:p w14:paraId="6DCD7EE0" w14:textId="77777777" w:rsidR="00F93F3C" w:rsidRPr="00F93F3C" w:rsidRDefault="00F93F3C" w:rsidP="00F93F3C">
      <w:pPr>
        <w:rPr>
          <w:rFonts w:eastAsia="MS Mincho"/>
          <w:lang w:eastAsia="ja-JP"/>
        </w:rPr>
      </w:pPr>
      <w:r w:rsidRPr="00F93F3C">
        <w:rPr>
          <w:rFonts w:eastAsia="MS Mincho"/>
          <w:lang w:eastAsia="ja-JP"/>
        </w:rPr>
        <w:t>Klouzavá výkonnost za 12 měsíců</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721"/>
        <w:gridCol w:w="1009"/>
      </w:tblGrid>
      <w:tr w:rsidR="00F93F3C" w:rsidRPr="00F93F3C" w14:paraId="74C79AEE" w14:textId="77777777" w:rsidTr="00E71BA7">
        <w:trPr>
          <w:tblCellSpacing w:w="15" w:type="dxa"/>
        </w:trPr>
        <w:tc>
          <w:tcPr>
            <w:tcW w:w="0" w:type="auto"/>
            <w:vAlign w:val="center"/>
            <w:hideMark/>
          </w:tcPr>
          <w:p w14:paraId="7F89466A" w14:textId="77777777" w:rsidR="00F93F3C" w:rsidRPr="00F93F3C" w:rsidRDefault="00F93F3C" w:rsidP="00F93F3C">
            <w:pPr>
              <w:rPr>
                <w:rFonts w:eastAsia="MS Mincho"/>
                <w:lang w:eastAsia="ja-JP"/>
              </w:rPr>
            </w:pPr>
            <w:r w:rsidRPr="00F93F3C">
              <w:rPr>
                <w:rFonts w:eastAsia="MS Mincho"/>
                <w:lang w:eastAsia="ja-JP"/>
              </w:rPr>
              <w:t>Období končící 3. září</w:t>
            </w:r>
          </w:p>
        </w:tc>
        <w:tc>
          <w:tcPr>
            <w:tcW w:w="0" w:type="auto"/>
            <w:vAlign w:val="center"/>
            <w:hideMark/>
          </w:tcPr>
          <w:p w14:paraId="505F5834" w14:textId="77777777" w:rsidR="00F93F3C" w:rsidRPr="00F93F3C" w:rsidRDefault="00F93F3C" w:rsidP="00F93F3C">
            <w:pPr>
              <w:rPr>
                <w:rFonts w:eastAsia="MS Mincho"/>
                <w:lang w:eastAsia="ja-JP"/>
              </w:rPr>
            </w:pPr>
            <w:r w:rsidRPr="00F93F3C">
              <w:rPr>
                <w:rFonts w:eastAsia="MS Mincho"/>
                <w:lang w:eastAsia="ja-JP"/>
              </w:rPr>
              <w:t>Výkonnost</w:t>
            </w:r>
          </w:p>
        </w:tc>
      </w:tr>
      <w:tr w:rsidR="00F93F3C" w:rsidRPr="00F93F3C" w14:paraId="33849E21" w14:textId="77777777" w:rsidTr="00E71BA7">
        <w:trPr>
          <w:tblCellSpacing w:w="15" w:type="dxa"/>
        </w:trPr>
        <w:tc>
          <w:tcPr>
            <w:tcW w:w="0" w:type="auto"/>
            <w:vAlign w:val="center"/>
            <w:hideMark/>
          </w:tcPr>
          <w:p w14:paraId="288F86B6" w14:textId="77777777" w:rsidR="00F93F3C" w:rsidRPr="00F93F3C" w:rsidRDefault="00F93F3C" w:rsidP="00F93F3C">
            <w:pPr>
              <w:rPr>
                <w:rFonts w:eastAsia="MS Mincho"/>
                <w:lang w:eastAsia="ja-JP"/>
              </w:rPr>
            </w:pPr>
            <w:r w:rsidRPr="00F93F3C">
              <w:rPr>
                <w:rFonts w:eastAsia="MS Mincho"/>
                <w:lang w:eastAsia="ja-JP"/>
              </w:rPr>
              <w:t>Fidelity US Fundamental Small-Mid Cap UCITS ETF</w:t>
            </w:r>
          </w:p>
        </w:tc>
        <w:tc>
          <w:tcPr>
            <w:tcW w:w="0" w:type="auto"/>
            <w:vAlign w:val="center"/>
            <w:hideMark/>
          </w:tcPr>
          <w:p w14:paraId="252FBD79" w14:textId="77777777" w:rsidR="00F93F3C" w:rsidRPr="00F93F3C" w:rsidRDefault="00F93F3C" w:rsidP="00F93F3C">
            <w:pPr>
              <w:rPr>
                <w:rFonts w:eastAsia="MS Mincho"/>
                <w:lang w:eastAsia="ja-JP"/>
              </w:rPr>
            </w:pPr>
            <w:r w:rsidRPr="00F93F3C">
              <w:rPr>
                <w:rFonts w:eastAsia="MS Mincho"/>
                <w:lang w:eastAsia="ja-JP"/>
              </w:rPr>
              <w:t>26,9 %</w:t>
            </w:r>
          </w:p>
        </w:tc>
      </w:tr>
      <w:tr w:rsidR="00F93F3C" w:rsidRPr="00F93F3C" w14:paraId="371FF18B" w14:textId="77777777" w:rsidTr="00E71BA7">
        <w:trPr>
          <w:tblCellSpacing w:w="15" w:type="dxa"/>
        </w:trPr>
        <w:tc>
          <w:tcPr>
            <w:tcW w:w="0" w:type="auto"/>
            <w:vAlign w:val="center"/>
            <w:hideMark/>
          </w:tcPr>
          <w:p w14:paraId="01B3234C" w14:textId="77777777" w:rsidR="00F93F3C" w:rsidRPr="00F93F3C" w:rsidRDefault="00F93F3C" w:rsidP="00F93F3C">
            <w:pPr>
              <w:rPr>
                <w:rFonts w:eastAsia="MS Mincho"/>
                <w:lang w:eastAsia="ja-JP"/>
              </w:rPr>
            </w:pPr>
            <w:r w:rsidRPr="00F93F3C">
              <w:rPr>
                <w:rFonts w:eastAsia="MS Mincho"/>
                <w:lang w:eastAsia="ja-JP"/>
              </w:rPr>
              <w:t>Russell 2500 Index</w:t>
            </w:r>
          </w:p>
        </w:tc>
        <w:tc>
          <w:tcPr>
            <w:tcW w:w="0" w:type="auto"/>
            <w:vAlign w:val="center"/>
            <w:hideMark/>
          </w:tcPr>
          <w:p w14:paraId="505DBCC7" w14:textId="77777777" w:rsidR="00F93F3C" w:rsidRPr="00F93F3C" w:rsidRDefault="00F93F3C" w:rsidP="00F93F3C">
            <w:pPr>
              <w:rPr>
                <w:rFonts w:eastAsia="MS Mincho"/>
                <w:lang w:eastAsia="ja-JP"/>
              </w:rPr>
            </w:pPr>
            <w:r w:rsidRPr="00F93F3C">
              <w:rPr>
                <w:rFonts w:eastAsia="MS Mincho"/>
                <w:lang w:eastAsia="ja-JP"/>
              </w:rPr>
              <w:t>26,5 %</w:t>
            </w:r>
          </w:p>
        </w:tc>
      </w:tr>
    </w:tbl>
    <w:p w14:paraId="5F822468" w14:textId="77777777" w:rsidR="00F93F3C" w:rsidRPr="00F93F3C" w:rsidRDefault="00F93F3C" w:rsidP="00F93F3C">
      <w:pPr>
        <w:rPr>
          <w:rFonts w:eastAsia="MS Mincho"/>
          <w:lang w:eastAsia="ja-JP"/>
        </w:rPr>
      </w:pPr>
      <w:r w:rsidRPr="00F93F3C">
        <w:rPr>
          <w:rFonts w:eastAsia="MS Mincho"/>
          <w:lang w:eastAsia="ja-JP"/>
        </w:rPr>
        <w:t>Uvedené hodnoty se vztahují k období končícímu 3. 9. 2026.</w:t>
      </w:r>
    </w:p>
    <w:p w14:paraId="1EBB8B7D" w14:textId="77777777" w:rsidR="00F93F3C" w:rsidRPr="00F93F3C" w:rsidRDefault="00F93F3C" w:rsidP="00F93F3C">
      <w:pPr>
        <w:rPr>
          <w:rFonts w:eastAsia="MS Mincho"/>
          <w:lang w:eastAsia="ja-JP"/>
        </w:rPr>
      </w:pPr>
      <w:r w:rsidRPr="00F93F3C">
        <w:rPr>
          <w:rFonts w:eastAsia="MS Mincho"/>
          <w:lang w:eastAsia="ja-JP"/>
        </w:rPr>
        <w:t>Minulá výkonnost není ukazatelem budoucích výsledků.</w:t>
      </w:r>
    </w:p>
    <w:p w14:paraId="1BE30EDB" w14:textId="77777777" w:rsidR="00F93F3C" w:rsidRPr="00F93F3C" w:rsidRDefault="00F93F3C" w:rsidP="00F93F3C">
      <w:pPr>
        <w:rPr>
          <w:rFonts w:eastAsia="MS Mincho"/>
          <w:lang w:eastAsia="ja-JP"/>
        </w:rPr>
      </w:pPr>
      <w:r w:rsidRPr="00F93F3C">
        <w:rPr>
          <w:rFonts w:eastAsia="MS Mincho"/>
          <w:lang w:eastAsia="ja-JP"/>
        </w:rPr>
        <w:t xml:space="preserve">Zdroj: Fidelity International, Bloomberg. Klouzavé dvanáctiměsíční výnosy v USD, data k 3. 9. 2026. </w:t>
      </w:r>
    </w:p>
    <w:p w14:paraId="70BDB63B" w14:textId="77777777" w:rsidR="00F93F3C" w:rsidRPr="00F93F3C" w:rsidRDefault="00F93F3C" w:rsidP="00F93F3C">
      <w:pPr>
        <w:rPr>
          <w:rFonts w:eastAsia="MS Mincho"/>
          <w:b/>
          <w:bCs/>
          <w:lang w:eastAsia="ja-JP"/>
        </w:rPr>
      </w:pPr>
      <w:r w:rsidRPr="00F93F3C">
        <w:rPr>
          <w:rFonts w:eastAsia="MS Mincho"/>
          <w:lang w:eastAsia="ja-JP"/>
        </w:rPr>
        <w:t>Metodika: čistá hodnota aktiv (NAV) k čisté hodnotě aktiv (NAV), výnosy včetně reinvestovaných příjmů v příslušné základní měně (USD); výnosy jsou uvedeny po odečtení poplatků.</w:t>
      </w:r>
    </w:p>
    <w:p w14:paraId="3904EAFF" w14:textId="77777777" w:rsidR="00F93F3C" w:rsidRPr="00F93F3C" w:rsidRDefault="00F93F3C" w:rsidP="00F93F3C">
      <w:pPr>
        <w:rPr>
          <w:rFonts w:ascii="Invesco Interstate Light" w:eastAsia="MS Mincho" w:hAnsi="Invesco Interstate Light"/>
          <w:b/>
          <w:bCs/>
          <w:sz w:val="22"/>
          <w:szCs w:val="22"/>
          <w:lang w:eastAsia="ja-JP"/>
        </w:rPr>
      </w:pPr>
    </w:p>
    <w:p w14:paraId="3EE095C8" w14:textId="48345BA1" w:rsidR="00362096" w:rsidRPr="003B4C8C" w:rsidRDefault="00362096" w:rsidP="00362096">
      <w:r w:rsidRPr="003B4C8C">
        <w:rPr>
          <w:b/>
          <w:bCs/>
        </w:rPr>
        <w:t>Pro více informací kontaktujte:</w:t>
      </w:r>
    </w:p>
    <w:p w14:paraId="48DEF66B" w14:textId="77777777" w:rsidR="00362096" w:rsidRPr="003B4C8C" w:rsidRDefault="00362096" w:rsidP="00362096">
      <w:r w:rsidRPr="003B4C8C">
        <w:rPr>
          <w:b/>
          <w:bCs/>
        </w:rPr>
        <w:t>Eliška Krohová</w:t>
      </w:r>
    </w:p>
    <w:p w14:paraId="2CA03BC4" w14:textId="77777777" w:rsidR="00362096" w:rsidRPr="003B4C8C" w:rsidRDefault="00362096" w:rsidP="00362096">
      <w:r w:rsidRPr="003B4C8C">
        <w:rPr>
          <w:b/>
          <w:bCs/>
        </w:rPr>
        <w:t>Crest Communications, a.s.</w:t>
      </w:r>
    </w:p>
    <w:p w14:paraId="1A21A054" w14:textId="77777777" w:rsidR="00362096" w:rsidRPr="003B4C8C" w:rsidRDefault="00362096" w:rsidP="00362096">
      <w:r w:rsidRPr="003B4C8C">
        <w:t>Ostrovní 126/30</w:t>
      </w:r>
    </w:p>
    <w:p w14:paraId="17106CFE" w14:textId="77777777" w:rsidR="00362096" w:rsidRPr="003B4C8C" w:rsidRDefault="00362096" w:rsidP="00362096">
      <w:r w:rsidRPr="003B4C8C">
        <w:t>110 00 Praha 1</w:t>
      </w:r>
    </w:p>
    <w:p w14:paraId="6C3201C5" w14:textId="77777777" w:rsidR="00362096" w:rsidRPr="003B4C8C" w:rsidRDefault="00362096" w:rsidP="00362096">
      <w:r w:rsidRPr="003B4C8C">
        <w:t>gsm: + 420 720 406 659</w:t>
      </w:r>
    </w:p>
    <w:p w14:paraId="557AD6EE" w14:textId="77777777" w:rsidR="00362096" w:rsidRPr="003B4C8C" w:rsidRDefault="00362096" w:rsidP="00362096">
      <w:r w:rsidRPr="003B4C8C">
        <w:lastRenderedPageBreak/>
        <w:t>e-mail: </w:t>
      </w:r>
      <w:hyperlink r:id="rId13" w:tgtFrame="_blank" w:history="1">
        <w:r w:rsidRPr="003B4C8C">
          <w:rPr>
            <w:rStyle w:val="Hypertextovodkaz"/>
          </w:rPr>
          <w:t>eliska.krohova@crestcom.cz</w:t>
        </w:r>
      </w:hyperlink>
    </w:p>
    <w:p w14:paraId="649445BF" w14:textId="77777777" w:rsidR="00362096" w:rsidRPr="003B4C8C" w:rsidRDefault="00362096" w:rsidP="00362096">
      <w:r w:rsidRPr="003B4C8C">
        <w:rPr>
          <w:b/>
          <w:bCs/>
        </w:rPr>
        <w:t>Informace pro editory:</w:t>
      </w:r>
    </w:p>
    <w:p w14:paraId="27448FB3" w14:textId="77777777" w:rsidR="00362096" w:rsidRPr="003B4C8C" w:rsidRDefault="00362096" w:rsidP="00362096">
      <w:r w:rsidRPr="003B4C8C">
        <w:rPr>
          <w:b/>
          <w:bCs/>
        </w:rPr>
        <w:t>Fidelity International </w:t>
      </w:r>
      <w:r w:rsidRPr="003B4C8C">
        <w:t>byla založena v roce 1969 a poskytuje investiční služby a produkty soukromým a institucionálním investorům. Od ostatních globálních investičních společností se liší zejména formou vlastnictví. Jedná o čistě privátní, soukromou společnost vlastněnou přímo členy zakládající rodiny a managementem firmy. Společnost klade veliký důraz na provádění podrobných analýz, na jejichž základě pak identifikují pro klienty nejvýhodnější investiční příležitosti. Její speciální týmy investičních analytiků a odborníků působí ve všech hlavních finančních centrech světa – v Londýně, Frankfurtu, Paříži, Hongkongu, Tokiu, Singapuru, Soulu, Dillí, Bombaji a v Sydney. V současné době administruje aktiva ve výši 87 mld. USD (assets under administration) a globálně pro klienty investovala 290 mld. USD ve 25 zemích napříč Evropou, Asií, Tichomořím, středním Východem a jižní Amerikou. V České republice Fidelity působí od roku 2012 a mezi její klienty patří celá řada významných institucionálních i privátních klientů, všechny významné banky, pojišťovny, finanční společnosti a nezávislí finanční poradci, kteří koncovým investorům zprostředkovávají investiční fondy této globální investiční společnosti.</w:t>
      </w:r>
    </w:p>
    <w:p w14:paraId="0C497B4E" w14:textId="77777777" w:rsidR="00362096" w:rsidRPr="003B4C8C" w:rsidRDefault="00362096" w:rsidP="00362096">
      <w:r w:rsidRPr="003B4C8C">
        <w:rPr>
          <w:b/>
          <w:bCs/>
        </w:rPr>
        <w:t>Důležité upozornění</w:t>
      </w:r>
    </w:p>
    <w:p w14:paraId="7A0C186E" w14:textId="77777777" w:rsidR="00362096" w:rsidRPr="003B4C8C" w:rsidRDefault="00362096" w:rsidP="00362096">
      <w:r w:rsidRPr="003B4C8C">
        <w:t>Toto je propagační materiál. Tento dokument nesmí být bez předchozího souhlasu rozmnožován nebo rozšiřován.</w:t>
      </w:r>
    </w:p>
    <w:p w14:paraId="3D121D89" w14:textId="77777777" w:rsidR="00362096" w:rsidRPr="003B4C8C" w:rsidRDefault="00362096" w:rsidP="00362096">
      <w:r w:rsidRPr="003B4C8C">
        <w:t>Fidelity International poskytuje informace pouze o svých produktech a neposkytuje investiční poradenství na základě individuálních potřeb, jinak než konkrétně řádně stanovené oprávněnou společností při formální komunikaci s klientem.</w:t>
      </w:r>
    </w:p>
    <w:p w14:paraId="7B03E80F" w14:textId="77777777" w:rsidR="00362096" w:rsidRPr="003B4C8C" w:rsidRDefault="00362096" w:rsidP="00362096">
      <w:r w:rsidRPr="003B4C8C">
        <w:t>Jako Fidelity International je označována skupina společností, které tvoří globální organizaci správy investic poskytující informace o produktech a službách v určených jurisdikcích mimo Severní Ameriku. Toto písemné sdělení není směřováno k osobám se sídlem ve Spojených státech a takové osoby nesmí podle něj jednat. Je určeno pouze osobám bytem v takové v soudní příslušnosti, kde jsou příslušné fondy povoleny k distribuci nebo tam, kde není takové povolení vyžadováno.</w:t>
      </w:r>
    </w:p>
    <w:p w14:paraId="5FEA78BD" w14:textId="77777777" w:rsidR="00362096" w:rsidRPr="003B4C8C" w:rsidRDefault="00362096" w:rsidP="00362096">
      <w:r w:rsidRPr="003B4C8C">
        <w:t>Všechny názory představují stanoviska společnosti Fidelity, není-li uvedeno jinak. Fidelity, Fidelity International a logo Fidelity International a symbol měny F jsou všechno ochrannými známkami společnosti FIL Limited.</w:t>
      </w:r>
    </w:p>
    <w:p w14:paraId="4126DD13" w14:textId="77777777" w:rsidR="00362096" w:rsidRPr="003B4C8C" w:rsidRDefault="00362096" w:rsidP="00362096">
      <w:r w:rsidRPr="003B4C8C">
        <w:t>Tento dokument nepředstavuje distribuci, nabídku nebo výzvu k využití služeb investiční správy společnosti Fidelity, ani nabídku ke koupi, prodeji nebo výzvu k nabídce ke koupi nebo prodeji jakýchkoli cenných papírů v jakékoli jurisdikci nebo zemi, kde taková distribuce nebo nabídka není povolena či by byla v rozporu s místními zákony nebo předpisy.</w:t>
      </w:r>
    </w:p>
    <w:p w14:paraId="0AFC09C2" w14:textId="77777777" w:rsidR="00362096" w:rsidRPr="003B4C8C" w:rsidRDefault="00362096" w:rsidP="00362096">
      <w:r w:rsidRPr="003B4C8C">
        <w:t>Odkazy v tomto dokumentu na konkrétní cenné papíry nelze vykládat jako doporučení ke koupi nebo prodeji těchto cenných papírů, ale jsou uvedeny pouze pro ilustraci. Investoři by rovněž měli vzít na vědomí, že vyjádřené názory již nemusí být aktuální a společnost Fidelity již mohla jednat. Průzkumy a analýzy použité v této dokumentaci shromažďuje společnost Fidelity pro své potřeby správce investic a je možné, že podle nich již bylo postupováno pro její vlastní účely. Tento materiál byl vytvořen společností Fidelity International.</w:t>
      </w:r>
    </w:p>
    <w:p w14:paraId="020F0184" w14:textId="77777777" w:rsidR="00362096" w:rsidRPr="003B4C8C" w:rsidRDefault="00362096" w:rsidP="00362096">
      <w:r w:rsidRPr="003B4C8C">
        <w:lastRenderedPageBreak/>
        <w:t>Minulá výkonnost není spolehlivým ukazatelem budoucích výsledků.</w:t>
      </w:r>
    </w:p>
    <w:p w14:paraId="14B9D49C" w14:textId="77777777" w:rsidR="00362096" w:rsidRPr="003B4C8C" w:rsidRDefault="00362096" w:rsidP="00362096">
      <w:r w:rsidRPr="003B4C8C">
        <w:t>Tento dokument může obsahovat materiály třetích stran, které jsou dodávány společnostmi, jež nejsou spojeny s žádným subjektem Fidelity (obsah třetích stran). Společnost Fidelity se nepodílela na přípravě, přijetí ani úpravě takových materiálů třetích stran a výslovně ani implicitně takový obsah neschvaluje ani nepodporovala.</w:t>
      </w:r>
    </w:p>
    <w:p w14:paraId="381E2C3B" w14:textId="77777777" w:rsidR="00362096" w:rsidRPr="003B4C8C" w:rsidRDefault="00362096" w:rsidP="00362096">
      <w:r w:rsidRPr="003B4C8C">
        <w:t>Údaje nejsou auditované. Odborníci provádějící průzkum zahrnují společníky a analytiky. Doporučujeme, abyste si před uskutečněním jakéhokoli investičního rozhodnutí opatřili podrobné informace. Investice by měly být prováděny na základě aktuálního prospektu (v angličtině a češtině) a dokumentu KIID (Klíčové informace pro investory) - dostupný v angličtině a češtině, které jsou dostupné spolu s výročními a pololetními zprávami zdarma na </w:t>
      </w:r>
      <w:hyperlink r:id="rId14" w:tgtFrame="_blank" w:history="1">
        <w:r w:rsidRPr="003B4C8C">
          <w:rPr>
            <w:rStyle w:val="Hypertextovodkaz"/>
          </w:rPr>
          <w:t>https://www.fidelityinternational.com</w:t>
        </w:r>
      </w:hyperlink>
      <w:r w:rsidRPr="003B4C8C">
        <w:t> nebo od našich distributořů a našeho evropského Centra služeb v Lucembursku, sídlící na adrese FIL (Luxembourg) S.A. 2a, rue Albert Borschette BP 2174 L-1021 Luxembourg.</w:t>
      </w:r>
    </w:p>
    <w:p w14:paraId="7893AFD1" w14:textId="77777777" w:rsidR="00362096" w:rsidRPr="003B4C8C" w:rsidRDefault="00362096" w:rsidP="00362096">
      <w:r w:rsidRPr="003B4C8C">
        <w:t>Fidelity Funds "FF" je otevřená investiční společnost (SKIPCP) sídlící v Lucembursku, která disponuje akciemi různých tříd. Společnost FIL Investment Management (Luxembourg) S.A. si vyhrazuje právo ukončit nabízení podfondu a jeho podílových jednotek na trhu v souladu s článkem 93 písm. a) směrnice 2009/65/ES a článkem 32 písm. a) směrnice 2011/61/EU. Toto ukončení bude předem oznámeno v Lucembursku.Obchodní známky třetích stran, autorská práva a další práva duševního vlastnictví zůstávají majetkem jejich konkrétních vlastníků.</w:t>
      </w:r>
    </w:p>
    <w:p w14:paraId="54CCE3B4" w14:textId="77777777" w:rsidR="00362096" w:rsidRPr="003B4C8C" w:rsidRDefault="00362096" w:rsidP="00362096">
      <w:r w:rsidRPr="003B4C8C">
        <w:t>Investoři a potenciální investoři mohou získat informace o svých právech ve spojení se stížnostmi a soudními spory na tomto odkazu: </w:t>
      </w:r>
      <w:hyperlink r:id="rId15" w:tgtFrame="_blank" w:history="1">
        <w:r w:rsidRPr="003B4C8C">
          <w:rPr>
            <w:rStyle w:val="Hypertextovodkaz"/>
          </w:rPr>
          <w:t>https://www.fidelity.cz</w:t>
        </w:r>
      </w:hyperlink>
      <w:r w:rsidRPr="003B4C8C">
        <w:t> (v češtině).</w:t>
      </w:r>
    </w:p>
    <w:p w14:paraId="5348571E" w14:textId="77777777" w:rsidR="00362096" w:rsidRDefault="00362096" w:rsidP="00362096"/>
    <w:p w14:paraId="032496E3" w14:textId="546F39C1" w:rsidR="00D20058" w:rsidRDefault="008605F9" w:rsidP="008605F9">
      <w:pPr>
        <w:tabs>
          <w:tab w:val="left" w:pos="1512"/>
        </w:tabs>
        <w:spacing w:after="160" w:line="278" w:lineRule="auto"/>
      </w:pPr>
      <w:r w:rsidRPr="008605F9">
        <w:rPr>
          <w:lang w:val="de-AT"/>
        </w:rPr>
        <w:t>MKAT14169</w:t>
      </w:r>
    </w:p>
    <w:sectPr w:rsidR="00D20058" w:rsidSect="00F50497">
      <w:headerReference w:type="default" r:id="rId16"/>
      <w:footerReference w:type="default" r:id="rId17"/>
      <w:headerReference w:type="first" r:id="rId18"/>
      <w:pgSz w:w="11906" w:h="16838" w:code="9"/>
      <w:pgMar w:top="2268" w:right="1418" w:bottom="426" w:left="1418" w:header="567" w:footer="35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D4435A" w14:textId="77777777" w:rsidR="003911EF" w:rsidRDefault="003911EF">
      <w:r>
        <w:separator/>
      </w:r>
    </w:p>
  </w:endnote>
  <w:endnote w:type="continuationSeparator" w:id="0">
    <w:p w14:paraId="160E3F0C" w14:textId="77777777" w:rsidR="003911EF" w:rsidRDefault="003911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Gulim">
    <w:panose1 w:val="020B0600000101010101"/>
    <w:charset w:val="81"/>
    <w:family w:val="swiss"/>
    <w:pitch w:val="variable"/>
    <w:sig w:usb0="B00002AF" w:usb1="69D77CFB" w:usb2="00000030" w:usb3="00000000" w:csb0="0008009F" w:csb1="00000000"/>
  </w:font>
  <w:font w:name="Segoe UI">
    <w:panose1 w:val="020B0502040204020203"/>
    <w:charset w:val="EE"/>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Invesco Interstate Light">
    <w:altName w:val="Calibri"/>
    <w:panose1 w:val="00000000000000000000"/>
    <w:charset w:val="00"/>
    <w:family w:val="modern"/>
    <w:notTrueType/>
    <w:pitch w:val="variable"/>
    <w:sig w:usb0="A00000AF" w:usb1="5000204A" w:usb2="00000000" w:usb3="00000000" w:csb0="0000019B"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AF1AF" w14:textId="77777777" w:rsidR="001D1343" w:rsidRPr="00585CC6" w:rsidRDefault="001D1343" w:rsidP="00585CC6">
    <w:pPr>
      <w:pStyle w:val="F-zpat"/>
      <w:jc w:val="left"/>
      <w:rPr>
        <w:b/>
        <w:bCs/>
      </w:rPr>
    </w:pPr>
    <w:r>
      <w:rPr>
        <w:b/>
        <w:bC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B2540E" w14:textId="77777777" w:rsidR="003911EF" w:rsidRDefault="003911EF">
      <w:r>
        <w:separator/>
      </w:r>
    </w:p>
  </w:footnote>
  <w:footnote w:type="continuationSeparator" w:id="0">
    <w:p w14:paraId="361F6474" w14:textId="77777777" w:rsidR="003911EF" w:rsidRDefault="003911EF">
      <w:r>
        <w:continuationSeparator/>
      </w:r>
    </w:p>
  </w:footnote>
  <w:footnote w:type="continuationNotice" w:id="1">
    <w:p w14:paraId="38864C13" w14:textId="77777777" w:rsidR="003911EF" w:rsidRDefault="003911E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CDA8C" w14:textId="77777777" w:rsidR="001D1343" w:rsidRDefault="001D1343" w:rsidP="00585CC6">
    <w:pPr>
      <w:pStyle w:val="F-zpat"/>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2A25A" w14:textId="77777777" w:rsidR="001D1343" w:rsidRDefault="0018797C">
    <w:pPr>
      <w:pStyle w:val="Zhlav"/>
    </w:pPr>
    <w:r>
      <w:rPr>
        <w:noProof/>
      </w:rPr>
      <w:drawing>
        <wp:anchor distT="0" distB="0" distL="114300" distR="114300" simplePos="0" relativeHeight="251657728" behindDoc="0" locked="0" layoutInCell="1" allowOverlap="1" wp14:anchorId="0211B2D4" wp14:editId="7C062988">
          <wp:simplePos x="0" y="0"/>
          <wp:positionH relativeFrom="column">
            <wp:posOffset>4181475</wp:posOffset>
          </wp:positionH>
          <wp:positionV relativeFrom="paragraph">
            <wp:posOffset>255270</wp:posOffset>
          </wp:positionV>
          <wp:extent cx="1581150" cy="485775"/>
          <wp:effectExtent l="0" t="0" r="0" b="9525"/>
          <wp:wrapSquare wrapText="bothSides"/>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81150" cy="485775"/>
                  </a:xfrm>
                  <a:prstGeom prst="rect">
                    <a:avLst/>
                  </a:prstGeom>
                  <a:noFill/>
                </pic:spPr>
              </pic:pic>
            </a:graphicData>
          </a:graphic>
        </wp:anchor>
      </w:drawing>
    </w:r>
  </w:p>
  <w:p w14:paraId="41DB1735" w14:textId="77777777" w:rsidR="001D1343" w:rsidRDefault="001D1343">
    <w:pPr>
      <w:pStyle w:val="Zhlav"/>
    </w:pPr>
  </w:p>
  <w:p w14:paraId="0D163528" w14:textId="77777777" w:rsidR="001D1343" w:rsidRDefault="001D1343">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9A0F82A"/>
    <w:lvl w:ilvl="0">
      <w:start w:val="1"/>
      <w:numFmt w:val="decimal"/>
      <w:pStyle w:val="slovanseznam5"/>
      <w:lvlText w:val="%1."/>
      <w:lvlJc w:val="left"/>
      <w:pPr>
        <w:tabs>
          <w:tab w:val="num" w:pos="1983"/>
        </w:tabs>
        <w:ind w:left="1983" w:hanging="360"/>
      </w:pPr>
    </w:lvl>
  </w:abstractNum>
  <w:abstractNum w:abstractNumId="1" w15:restartNumberingAfterBreak="0">
    <w:nsid w:val="FFFFFF7D"/>
    <w:multiLevelType w:val="singleLevel"/>
    <w:tmpl w:val="4B821240"/>
    <w:lvl w:ilvl="0">
      <w:start w:val="1"/>
      <w:numFmt w:val="decimal"/>
      <w:pStyle w:val="slovanseznam4"/>
      <w:lvlText w:val="%1."/>
      <w:lvlJc w:val="left"/>
      <w:pPr>
        <w:tabs>
          <w:tab w:val="num" w:pos="1209"/>
        </w:tabs>
        <w:ind w:left="1209" w:hanging="360"/>
      </w:pPr>
    </w:lvl>
  </w:abstractNum>
  <w:abstractNum w:abstractNumId="2" w15:restartNumberingAfterBreak="0">
    <w:nsid w:val="FFFFFF7E"/>
    <w:multiLevelType w:val="singleLevel"/>
    <w:tmpl w:val="D1A8A7E8"/>
    <w:lvl w:ilvl="0">
      <w:start w:val="1"/>
      <w:numFmt w:val="decimal"/>
      <w:pStyle w:val="slovanseznam3"/>
      <w:lvlText w:val="%1."/>
      <w:lvlJc w:val="left"/>
      <w:pPr>
        <w:tabs>
          <w:tab w:val="num" w:pos="926"/>
        </w:tabs>
        <w:ind w:left="926" w:hanging="360"/>
      </w:pPr>
    </w:lvl>
  </w:abstractNum>
  <w:abstractNum w:abstractNumId="3" w15:restartNumberingAfterBreak="0">
    <w:nsid w:val="FFFFFF7F"/>
    <w:multiLevelType w:val="singleLevel"/>
    <w:tmpl w:val="BA8621DA"/>
    <w:lvl w:ilvl="0">
      <w:start w:val="1"/>
      <w:numFmt w:val="decimal"/>
      <w:pStyle w:val="slovanseznam2"/>
      <w:lvlText w:val="%1."/>
      <w:lvlJc w:val="left"/>
      <w:pPr>
        <w:tabs>
          <w:tab w:val="num" w:pos="643"/>
        </w:tabs>
        <w:ind w:left="643" w:hanging="360"/>
      </w:pPr>
    </w:lvl>
  </w:abstractNum>
  <w:abstractNum w:abstractNumId="4" w15:restartNumberingAfterBreak="0">
    <w:nsid w:val="FFFFFF80"/>
    <w:multiLevelType w:val="singleLevel"/>
    <w:tmpl w:val="0E647C2A"/>
    <w:lvl w:ilvl="0">
      <w:start w:val="1"/>
      <w:numFmt w:val="bullet"/>
      <w:pStyle w:val="Seznamsodrkami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092D47A"/>
    <w:lvl w:ilvl="0">
      <w:start w:val="1"/>
      <w:numFmt w:val="bullet"/>
      <w:pStyle w:val="Seznamsodrkami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4865CF2"/>
    <w:lvl w:ilvl="0">
      <w:start w:val="1"/>
      <w:numFmt w:val="bullet"/>
      <w:pStyle w:val="Seznamsodrkami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45E6F34"/>
    <w:lvl w:ilvl="0">
      <w:start w:val="1"/>
      <w:numFmt w:val="bullet"/>
      <w:pStyle w:val="Seznamsodrkami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F4A6936"/>
    <w:lvl w:ilvl="0">
      <w:start w:val="1"/>
      <w:numFmt w:val="decimal"/>
      <w:pStyle w:val="slovanseznam"/>
      <w:lvlText w:val="%1."/>
      <w:lvlJc w:val="left"/>
      <w:pPr>
        <w:tabs>
          <w:tab w:val="num" w:pos="360"/>
        </w:tabs>
        <w:ind w:left="360" w:hanging="360"/>
      </w:pPr>
    </w:lvl>
  </w:abstractNum>
  <w:abstractNum w:abstractNumId="9" w15:restartNumberingAfterBreak="0">
    <w:nsid w:val="FFFFFF89"/>
    <w:multiLevelType w:val="singleLevel"/>
    <w:tmpl w:val="C0BC8210"/>
    <w:lvl w:ilvl="0">
      <w:start w:val="1"/>
      <w:numFmt w:val="bullet"/>
      <w:pStyle w:val="Seznamsodrkami"/>
      <w:lvlText w:val=""/>
      <w:lvlJc w:val="left"/>
      <w:pPr>
        <w:tabs>
          <w:tab w:val="num" w:pos="360"/>
        </w:tabs>
        <w:ind w:left="360" w:hanging="360"/>
      </w:pPr>
      <w:rPr>
        <w:rFonts w:ascii="Symbol" w:hAnsi="Symbol" w:hint="default"/>
      </w:rPr>
    </w:lvl>
  </w:abstractNum>
  <w:abstractNum w:abstractNumId="10" w15:restartNumberingAfterBreak="0">
    <w:nsid w:val="06910746"/>
    <w:multiLevelType w:val="multilevel"/>
    <w:tmpl w:val="04050023"/>
    <w:styleLink w:val="lnekoddl"/>
    <w:lvl w:ilvl="0">
      <w:start w:val="1"/>
      <w:numFmt w:val="upperRoman"/>
      <w:lvlText w:val="Článek %1."/>
      <w:lvlJc w:val="left"/>
      <w:pPr>
        <w:tabs>
          <w:tab w:val="num" w:pos="1080"/>
        </w:tabs>
        <w:ind w:left="0" w:firstLine="0"/>
      </w:pPr>
    </w:lvl>
    <w:lvl w:ilvl="1">
      <w:start w:val="1"/>
      <w:numFmt w:val="decimalZero"/>
      <w:isLgl/>
      <w:lvlText w:val="Oddíl %1.%2"/>
      <w:lvlJc w:val="left"/>
      <w:pPr>
        <w:tabs>
          <w:tab w:val="num" w:pos="72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1" w15:restartNumberingAfterBreak="0">
    <w:nsid w:val="0A6D266C"/>
    <w:multiLevelType w:val="multilevel"/>
    <w:tmpl w:val="66487184"/>
    <w:lvl w:ilvl="0">
      <w:start w:val="1"/>
      <w:numFmt w:val="bullet"/>
      <w:pStyle w:val="F3-odrka"/>
      <w:lvlText w:val=""/>
      <w:lvlJc w:val="left"/>
      <w:pPr>
        <w:tabs>
          <w:tab w:val="num" w:pos="794"/>
        </w:tabs>
        <w:ind w:left="794" w:hanging="454"/>
      </w:pPr>
      <w:rPr>
        <w:rFonts w:ascii="Symbol" w:hAnsi="Symbol" w:hint="default"/>
        <w:color w:val="auto"/>
      </w:rPr>
    </w:lvl>
    <w:lvl w:ilvl="1">
      <w:start w:val="1"/>
      <w:numFmt w:val="bullet"/>
      <w:lvlText w:val=""/>
      <w:lvlJc w:val="left"/>
      <w:pPr>
        <w:tabs>
          <w:tab w:val="num" w:pos="1247"/>
        </w:tabs>
        <w:ind w:left="1247" w:hanging="453"/>
      </w:pPr>
      <w:rPr>
        <w:rFonts w:ascii="Symbol" w:hAnsi="Symbol" w:hint="default"/>
        <w:color w:val="auto"/>
      </w:rPr>
    </w:lvl>
    <w:lvl w:ilvl="2">
      <w:start w:val="1"/>
      <w:numFmt w:val="bullet"/>
      <w:lvlText w:val=""/>
      <w:lvlJc w:val="left"/>
      <w:pPr>
        <w:tabs>
          <w:tab w:val="num" w:pos="1701"/>
        </w:tabs>
        <w:ind w:left="1701" w:hanging="454"/>
      </w:pPr>
      <w:rPr>
        <w:rFonts w:ascii="Symbol" w:hAnsi="Symbol" w:hint="default"/>
        <w:color w:val="auto"/>
      </w:rPr>
    </w:lvl>
    <w:lvl w:ilvl="3">
      <w:start w:val="1"/>
      <w:numFmt w:val="decimal"/>
      <w:lvlText w:val="%1.%2.%3.%4"/>
      <w:lvlJc w:val="left"/>
      <w:pPr>
        <w:tabs>
          <w:tab w:val="num" w:pos="794"/>
        </w:tabs>
        <w:ind w:left="794" w:hanging="79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2" w15:restartNumberingAfterBreak="0">
    <w:nsid w:val="164877BA"/>
    <w:multiLevelType w:val="multilevel"/>
    <w:tmpl w:val="05CCA26C"/>
    <w:lvl w:ilvl="0">
      <w:start w:val="1"/>
      <w:numFmt w:val="decimal"/>
      <w:lvlRestart w:val="0"/>
      <w:pStyle w:val="F4-slovn"/>
      <w:lvlText w:val="%1."/>
      <w:lvlJc w:val="left"/>
      <w:pPr>
        <w:tabs>
          <w:tab w:val="num" w:pos="794"/>
        </w:tabs>
        <w:ind w:left="794" w:hanging="454"/>
      </w:pPr>
      <w:rPr>
        <w:rFonts w:hint="default"/>
      </w:rPr>
    </w:lvl>
    <w:lvl w:ilvl="1">
      <w:start w:val="1"/>
      <w:numFmt w:val="decimal"/>
      <w:lvlText w:val="%1.%2"/>
      <w:lvlJc w:val="left"/>
      <w:pPr>
        <w:tabs>
          <w:tab w:val="num" w:pos="777"/>
        </w:tabs>
        <w:ind w:left="777" w:hanging="794"/>
      </w:pPr>
      <w:rPr>
        <w:rFonts w:hint="default"/>
      </w:rPr>
    </w:lvl>
    <w:lvl w:ilvl="2">
      <w:start w:val="1"/>
      <w:numFmt w:val="decimal"/>
      <w:lvlText w:val="%1.%2.%3"/>
      <w:lvlJc w:val="left"/>
      <w:pPr>
        <w:tabs>
          <w:tab w:val="num" w:pos="777"/>
        </w:tabs>
        <w:ind w:left="777" w:hanging="794"/>
      </w:pPr>
      <w:rPr>
        <w:rFonts w:hint="default"/>
      </w:rPr>
    </w:lvl>
    <w:lvl w:ilvl="3">
      <w:start w:val="1"/>
      <w:numFmt w:val="decimal"/>
      <w:lvlText w:val="%1.%2.%3.%4"/>
      <w:lvlJc w:val="left"/>
      <w:pPr>
        <w:tabs>
          <w:tab w:val="num" w:pos="777"/>
        </w:tabs>
        <w:ind w:left="777" w:hanging="794"/>
      </w:pPr>
      <w:rPr>
        <w:rFonts w:hint="default"/>
      </w:rPr>
    </w:lvl>
    <w:lvl w:ilvl="4">
      <w:start w:val="1"/>
      <w:numFmt w:val="decimal"/>
      <w:lvlText w:val="%1.%2.%3.%4.%5"/>
      <w:lvlJc w:val="left"/>
      <w:pPr>
        <w:tabs>
          <w:tab w:val="num" w:pos="991"/>
        </w:tabs>
        <w:ind w:left="991" w:hanging="1008"/>
      </w:pPr>
      <w:rPr>
        <w:rFonts w:hint="default"/>
      </w:rPr>
    </w:lvl>
    <w:lvl w:ilvl="5">
      <w:start w:val="1"/>
      <w:numFmt w:val="decimal"/>
      <w:lvlText w:val="%1.%2.%3.%4.%5.%6"/>
      <w:lvlJc w:val="left"/>
      <w:pPr>
        <w:tabs>
          <w:tab w:val="num" w:pos="1135"/>
        </w:tabs>
        <w:ind w:left="1135" w:hanging="1152"/>
      </w:pPr>
      <w:rPr>
        <w:rFonts w:hint="default"/>
      </w:rPr>
    </w:lvl>
    <w:lvl w:ilvl="6">
      <w:start w:val="1"/>
      <w:numFmt w:val="decimal"/>
      <w:lvlText w:val="%1.%2.%3.%4.%5.%6.%7"/>
      <w:lvlJc w:val="left"/>
      <w:pPr>
        <w:tabs>
          <w:tab w:val="num" w:pos="1279"/>
        </w:tabs>
        <w:ind w:left="1279" w:hanging="1296"/>
      </w:pPr>
      <w:rPr>
        <w:rFonts w:hint="default"/>
      </w:rPr>
    </w:lvl>
    <w:lvl w:ilvl="7">
      <w:start w:val="1"/>
      <w:numFmt w:val="decimal"/>
      <w:lvlText w:val="%1.%2.%3.%4.%5.%6.%7.%8"/>
      <w:lvlJc w:val="left"/>
      <w:pPr>
        <w:tabs>
          <w:tab w:val="num" w:pos="1423"/>
        </w:tabs>
        <w:ind w:left="1423" w:hanging="1440"/>
      </w:pPr>
      <w:rPr>
        <w:rFonts w:hint="default"/>
      </w:rPr>
    </w:lvl>
    <w:lvl w:ilvl="8">
      <w:start w:val="1"/>
      <w:numFmt w:val="decimal"/>
      <w:lvlText w:val="%1.%2.%3.%4.%5.%6.%7.%8.%9"/>
      <w:lvlJc w:val="left"/>
      <w:pPr>
        <w:tabs>
          <w:tab w:val="num" w:pos="1567"/>
        </w:tabs>
        <w:ind w:left="1567" w:hanging="1584"/>
      </w:pPr>
      <w:rPr>
        <w:rFonts w:hint="default"/>
      </w:rPr>
    </w:lvl>
  </w:abstractNum>
  <w:abstractNum w:abstractNumId="13" w15:restartNumberingAfterBreak="0">
    <w:nsid w:val="17024E5B"/>
    <w:multiLevelType w:val="hybridMultilevel"/>
    <w:tmpl w:val="B214151A"/>
    <w:lvl w:ilvl="0" w:tplc="48789186">
      <w:start w:val="1"/>
      <w:numFmt w:val="none"/>
      <w:pStyle w:val="F6-kol"/>
      <w:lvlText w:val="!! ÚKOL !!"/>
      <w:lvlJc w:val="left"/>
      <w:pPr>
        <w:tabs>
          <w:tab w:val="num" w:pos="0"/>
        </w:tabs>
        <w:ind w:left="0" w:firstLine="0"/>
      </w:pPr>
      <w:rPr>
        <w:rFonts w:hint="default"/>
        <w:b/>
        <w:i w:val="0"/>
        <w:color w:val="0000FF"/>
      </w:rPr>
    </w:lvl>
    <w:lvl w:ilvl="1" w:tplc="376EF75A">
      <w:start w:val="1"/>
      <w:numFmt w:val="lowerLetter"/>
      <w:lvlText w:val="%2)"/>
      <w:lvlJc w:val="left"/>
      <w:pPr>
        <w:tabs>
          <w:tab w:val="num" w:pos="743"/>
        </w:tabs>
        <w:ind w:left="743" w:hanging="363"/>
      </w:pPr>
      <w:rPr>
        <w:rFonts w:hint="default"/>
        <w:b/>
        <w:i w:val="0"/>
        <w:color w:val="0000FF"/>
      </w:rPr>
    </w:lvl>
    <w:lvl w:ilvl="2" w:tplc="EB0CEBFC" w:tentative="1">
      <w:start w:val="1"/>
      <w:numFmt w:val="lowerRoman"/>
      <w:lvlText w:val="%3."/>
      <w:lvlJc w:val="right"/>
      <w:pPr>
        <w:tabs>
          <w:tab w:val="num" w:pos="2160"/>
        </w:tabs>
        <w:ind w:left="2160" w:hanging="180"/>
      </w:pPr>
    </w:lvl>
    <w:lvl w:ilvl="3" w:tplc="C90EC44E" w:tentative="1">
      <w:start w:val="1"/>
      <w:numFmt w:val="decimal"/>
      <w:lvlText w:val="%4."/>
      <w:lvlJc w:val="left"/>
      <w:pPr>
        <w:tabs>
          <w:tab w:val="num" w:pos="2880"/>
        </w:tabs>
        <w:ind w:left="2880" w:hanging="360"/>
      </w:pPr>
    </w:lvl>
    <w:lvl w:ilvl="4" w:tplc="64E075F6" w:tentative="1">
      <w:start w:val="1"/>
      <w:numFmt w:val="lowerLetter"/>
      <w:lvlText w:val="%5."/>
      <w:lvlJc w:val="left"/>
      <w:pPr>
        <w:tabs>
          <w:tab w:val="num" w:pos="3600"/>
        </w:tabs>
        <w:ind w:left="3600" w:hanging="360"/>
      </w:pPr>
    </w:lvl>
    <w:lvl w:ilvl="5" w:tplc="DAF6A924" w:tentative="1">
      <w:start w:val="1"/>
      <w:numFmt w:val="lowerRoman"/>
      <w:lvlText w:val="%6."/>
      <w:lvlJc w:val="right"/>
      <w:pPr>
        <w:tabs>
          <w:tab w:val="num" w:pos="4320"/>
        </w:tabs>
        <w:ind w:left="4320" w:hanging="180"/>
      </w:pPr>
    </w:lvl>
    <w:lvl w:ilvl="6" w:tplc="53CAEDF8" w:tentative="1">
      <w:start w:val="1"/>
      <w:numFmt w:val="decimal"/>
      <w:lvlText w:val="%7."/>
      <w:lvlJc w:val="left"/>
      <w:pPr>
        <w:tabs>
          <w:tab w:val="num" w:pos="5040"/>
        </w:tabs>
        <w:ind w:left="5040" w:hanging="360"/>
      </w:pPr>
    </w:lvl>
    <w:lvl w:ilvl="7" w:tplc="DDE8AF34" w:tentative="1">
      <w:start w:val="1"/>
      <w:numFmt w:val="lowerLetter"/>
      <w:lvlText w:val="%8."/>
      <w:lvlJc w:val="left"/>
      <w:pPr>
        <w:tabs>
          <w:tab w:val="num" w:pos="5760"/>
        </w:tabs>
        <w:ind w:left="5760" w:hanging="360"/>
      </w:pPr>
    </w:lvl>
    <w:lvl w:ilvl="8" w:tplc="EAD46C3A" w:tentative="1">
      <w:start w:val="1"/>
      <w:numFmt w:val="lowerRoman"/>
      <w:lvlText w:val="%9."/>
      <w:lvlJc w:val="right"/>
      <w:pPr>
        <w:tabs>
          <w:tab w:val="num" w:pos="6480"/>
        </w:tabs>
        <w:ind w:left="6480" w:hanging="180"/>
      </w:pPr>
    </w:lvl>
  </w:abstractNum>
  <w:abstractNum w:abstractNumId="14" w15:restartNumberingAfterBreak="0">
    <w:nsid w:val="1ACA5DF5"/>
    <w:multiLevelType w:val="multilevel"/>
    <w:tmpl w:val="77D46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24D240C"/>
    <w:multiLevelType w:val="multilevel"/>
    <w:tmpl w:val="51BCF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56A09F1"/>
    <w:multiLevelType w:val="multilevel"/>
    <w:tmpl w:val="9EF81F8C"/>
    <w:lvl w:ilvl="0">
      <w:start w:val="1"/>
      <w:numFmt w:val="decimal"/>
      <w:pStyle w:val="F10-nadpis1"/>
      <w:lvlText w:val="%1"/>
      <w:lvlJc w:val="left"/>
      <w:pPr>
        <w:tabs>
          <w:tab w:val="num" w:pos="794"/>
        </w:tabs>
        <w:ind w:left="794" w:hanging="794"/>
      </w:pPr>
      <w:rPr>
        <w:rFonts w:hint="default"/>
      </w:rPr>
    </w:lvl>
    <w:lvl w:ilvl="1">
      <w:start w:val="1"/>
      <w:numFmt w:val="decimal"/>
      <w:pStyle w:val="F9-nadpis2"/>
      <w:lvlText w:val="%1.%2"/>
      <w:lvlJc w:val="left"/>
      <w:pPr>
        <w:tabs>
          <w:tab w:val="num" w:pos="794"/>
        </w:tabs>
        <w:ind w:left="794" w:hanging="794"/>
      </w:pPr>
      <w:rPr>
        <w:rFonts w:hint="default"/>
      </w:rPr>
    </w:lvl>
    <w:lvl w:ilvl="2">
      <w:start w:val="1"/>
      <w:numFmt w:val="decimal"/>
      <w:pStyle w:val="F8-nadpis3"/>
      <w:lvlText w:val="%1.%2.%3"/>
      <w:lvlJc w:val="left"/>
      <w:pPr>
        <w:tabs>
          <w:tab w:val="num" w:pos="794"/>
        </w:tabs>
        <w:ind w:left="794" w:hanging="794"/>
      </w:pPr>
      <w:rPr>
        <w:rFonts w:hint="default"/>
      </w:rPr>
    </w:lvl>
    <w:lvl w:ilvl="3">
      <w:start w:val="1"/>
      <w:numFmt w:val="decimal"/>
      <w:pStyle w:val="F-nadpis4"/>
      <w:lvlText w:val="%1.%2.%3.%4"/>
      <w:lvlJc w:val="left"/>
      <w:pPr>
        <w:tabs>
          <w:tab w:val="num" w:pos="794"/>
        </w:tabs>
        <w:ind w:left="794" w:hanging="794"/>
      </w:pPr>
      <w:rPr>
        <w:rFonts w:hint="default"/>
      </w:rPr>
    </w:lvl>
    <w:lvl w:ilvl="4">
      <w:start w:val="1"/>
      <w:numFmt w:val="decimal"/>
      <w:pStyle w:val="Nadpis5"/>
      <w:lvlText w:val="%1.%2.%3.%4.%5"/>
      <w:lvlJc w:val="left"/>
      <w:pPr>
        <w:tabs>
          <w:tab w:val="num" w:pos="1008"/>
        </w:tabs>
        <w:ind w:left="1008" w:hanging="1008"/>
      </w:pPr>
      <w:rPr>
        <w:rFonts w:hint="default"/>
      </w:rPr>
    </w:lvl>
    <w:lvl w:ilvl="5">
      <w:start w:val="1"/>
      <w:numFmt w:val="decimal"/>
      <w:pStyle w:val="Nadpis6"/>
      <w:lvlText w:val="%1.%2.%3.%4.%5.%6"/>
      <w:lvlJc w:val="left"/>
      <w:pPr>
        <w:tabs>
          <w:tab w:val="num" w:pos="1152"/>
        </w:tabs>
        <w:ind w:left="1152" w:hanging="1152"/>
      </w:pPr>
      <w:rPr>
        <w:rFonts w:hint="default"/>
      </w:rPr>
    </w:lvl>
    <w:lvl w:ilvl="6">
      <w:start w:val="1"/>
      <w:numFmt w:val="decimal"/>
      <w:pStyle w:val="Nadpis7"/>
      <w:lvlText w:val="%1.%2.%3.%4.%5.%6.%7"/>
      <w:lvlJc w:val="left"/>
      <w:pPr>
        <w:tabs>
          <w:tab w:val="num" w:pos="1296"/>
        </w:tabs>
        <w:ind w:left="1296" w:hanging="1296"/>
      </w:pPr>
      <w:rPr>
        <w:rFonts w:hint="default"/>
      </w:rPr>
    </w:lvl>
    <w:lvl w:ilvl="7">
      <w:start w:val="1"/>
      <w:numFmt w:val="decimal"/>
      <w:pStyle w:val="Nadpis8"/>
      <w:lvlText w:val="%1.%2.%3.%4.%5.%6.%7.%8"/>
      <w:lvlJc w:val="left"/>
      <w:pPr>
        <w:tabs>
          <w:tab w:val="num" w:pos="1440"/>
        </w:tabs>
        <w:ind w:left="1440" w:hanging="1440"/>
      </w:pPr>
      <w:rPr>
        <w:rFonts w:hint="default"/>
      </w:rPr>
    </w:lvl>
    <w:lvl w:ilvl="8">
      <w:start w:val="1"/>
      <w:numFmt w:val="decimal"/>
      <w:pStyle w:val="Nadpis9"/>
      <w:lvlText w:val="%1.%2.%3.%4.%5.%6.%7.%8.%9"/>
      <w:lvlJc w:val="left"/>
      <w:pPr>
        <w:tabs>
          <w:tab w:val="num" w:pos="1584"/>
        </w:tabs>
        <w:ind w:left="1584" w:hanging="1584"/>
      </w:pPr>
      <w:rPr>
        <w:rFonts w:hint="default"/>
      </w:rPr>
    </w:lvl>
  </w:abstractNum>
  <w:abstractNum w:abstractNumId="17" w15:restartNumberingAfterBreak="0">
    <w:nsid w:val="28601A32"/>
    <w:multiLevelType w:val="multilevel"/>
    <w:tmpl w:val="92C4D32A"/>
    <w:lvl w:ilvl="0">
      <w:start w:val="1"/>
      <w:numFmt w:val="decimal"/>
      <w:lvlText w:val="%1"/>
      <w:lvlJc w:val="left"/>
      <w:pPr>
        <w:tabs>
          <w:tab w:val="num" w:pos="357"/>
        </w:tabs>
        <w:ind w:left="794" w:hanging="794"/>
      </w:pPr>
      <w:rPr>
        <w:rFonts w:hint="default"/>
      </w:rPr>
    </w:lvl>
    <w:lvl w:ilvl="1">
      <w:start w:val="1"/>
      <w:numFmt w:val="decimal"/>
      <w:pStyle w:val="Nadpis2"/>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15:restartNumberingAfterBreak="0">
    <w:nsid w:val="2AD9061E"/>
    <w:multiLevelType w:val="multilevel"/>
    <w:tmpl w:val="1B6C611C"/>
    <w:lvl w:ilvl="0">
      <w:start w:val="1"/>
      <w:numFmt w:val="decimal"/>
      <w:lvlText w:val="%1"/>
      <w:lvlJc w:val="left"/>
      <w:pPr>
        <w:tabs>
          <w:tab w:val="num" w:pos="357"/>
        </w:tabs>
        <w:ind w:left="794" w:hanging="794"/>
      </w:pPr>
      <w:rPr>
        <w:rFonts w:hint="default"/>
      </w:rPr>
    </w:lvl>
    <w:lvl w:ilvl="1">
      <w:start w:val="1"/>
      <w:numFmt w:val="decimal"/>
      <w:lvlText w:val="%1.%2"/>
      <w:lvlJc w:val="left"/>
      <w:pPr>
        <w:tabs>
          <w:tab w:val="num" w:pos="357"/>
        </w:tabs>
        <w:ind w:left="794" w:hanging="794"/>
      </w:pPr>
      <w:rPr>
        <w:rFonts w:hint="default"/>
      </w:rPr>
    </w:lvl>
    <w:lvl w:ilvl="2">
      <w:start w:val="1"/>
      <w:numFmt w:val="decimal"/>
      <w:pStyle w:val="Nadpis3"/>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9" w15:restartNumberingAfterBreak="0">
    <w:nsid w:val="2AF70029"/>
    <w:multiLevelType w:val="multilevel"/>
    <w:tmpl w:val="BE3A2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07E08D3"/>
    <w:multiLevelType w:val="multilevel"/>
    <w:tmpl w:val="8E084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EDC4CCB"/>
    <w:multiLevelType w:val="multilevel"/>
    <w:tmpl w:val="0405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709606D"/>
    <w:multiLevelType w:val="multilevel"/>
    <w:tmpl w:val="F5902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ADD1676"/>
    <w:multiLevelType w:val="multilevel"/>
    <w:tmpl w:val="648480A0"/>
    <w:lvl w:ilvl="0">
      <w:start w:val="1"/>
      <w:numFmt w:val="lowerLetter"/>
      <w:lvlRestart w:val="0"/>
      <w:pStyle w:val="F5-psmena"/>
      <w:lvlText w:val="%1)"/>
      <w:lvlJc w:val="left"/>
      <w:pPr>
        <w:tabs>
          <w:tab w:val="num" w:pos="794"/>
        </w:tabs>
        <w:ind w:left="794" w:hanging="454"/>
      </w:pPr>
      <w:rPr>
        <w:rFonts w:hint="default"/>
      </w:rPr>
    </w:lvl>
    <w:lvl w:ilvl="1">
      <w:start w:val="1"/>
      <w:numFmt w:val="decimal"/>
      <w:lvlText w:val="%1.%2"/>
      <w:lvlJc w:val="left"/>
      <w:pPr>
        <w:tabs>
          <w:tab w:val="num" w:pos="1685"/>
        </w:tabs>
        <w:ind w:left="1685" w:hanging="794"/>
      </w:pPr>
      <w:rPr>
        <w:rFonts w:hint="default"/>
      </w:rPr>
    </w:lvl>
    <w:lvl w:ilvl="2">
      <w:start w:val="1"/>
      <w:numFmt w:val="decimal"/>
      <w:lvlText w:val="%1.%2.%3"/>
      <w:lvlJc w:val="left"/>
      <w:pPr>
        <w:tabs>
          <w:tab w:val="num" w:pos="1685"/>
        </w:tabs>
        <w:ind w:left="1685" w:hanging="794"/>
      </w:pPr>
      <w:rPr>
        <w:rFonts w:hint="default"/>
      </w:rPr>
    </w:lvl>
    <w:lvl w:ilvl="3">
      <w:start w:val="1"/>
      <w:numFmt w:val="decimal"/>
      <w:lvlText w:val="%1.%2.%3.%4"/>
      <w:lvlJc w:val="left"/>
      <w:pPr>
        <w:tabs>
          <w:tab w:val="num" w:pos="1685"/>
        </w:tabs>
        <w:ind w:left="1685" w:hanging="794"/>
      </w:pPr>
      <w:rPr>
        <w:rFonts w:hint="default"/>
      </w:rPr>
    </w:lvl>
    <w:lvl w:ilvl="4">
      <w:start w:val="1"/>
      <w:numFmt w:val="decimal"/>
      <w:lvlText w:val="%1.%2.%3.%4.%5"/>
      <w:lvlJc w:val="left"/>
      <w:pPr>
        <w:tabs>
          <w:tab w:val="num" w:pos="1899"/>
        </w:tabs>
        <w:ind w:left="1899" w:hanging="1008"/>
      </w:pPr>
      <w:rPr>
        <w:rFonts w:hint="default"/>
      </w:rPr>
    </w:lvl>
    <w:lvl w:ilvl="5">
      <w:start w:val="1"/>
      <w:numFmt w:val="decimal"/>
      <w:lvlText w:val="%1.%2.%3.%4.%5.%6"/>
      <w:lvlJc w:val="left"/>
      <w:pPr>
        <w:tabs>
          <w:tab w:val="num" w:pos="2043"/>
        </w:tabs>
        <w:ind w:left="2043" w:hanging="1152"/>
      </w:pPr>
      <w:rPr>
        <w:rFonts w:hint="default"/>
      </w:rPr>
    </w:lvl>
    <w:lvl w:ilvl="6">
      <w:start w:val="1"/>
      <w:numFmt w:val="decimal"/>
      <w:lvlText w:val="%1.%2.%3.%4.%5.%6.%7"/>
      <w:lvlJc w:val="left"/>
      <w:pPr>
        <w:tabs>
          <w:tab w:val="num" w:pos="2187"/>
        </w:tabs>
        <w:ind w:left="2187" w:hanging="1296"/>
      </w:pPr>
      <w:rPr>
        <w:rFonts w:hint="default"/>
      </w:rPr>
    </w:lvl>
    <w:lvl w:ilvl="7">
      <w:start w:val="1"/>
      <w:numFmt w:val="decimal"/>
      <w:lvlText w:val="%1.%2.%3.%4.%5.%6.%7.%8"/>
      <w:lvlJc w:val="left"/>
      <w:pPr>
        <w:tabs>
          <w:tab w:val="num" w:pos="2331"/>
        </w:tabs>
        <w:ind w:left="2331" w:hanging="1440"/>
      </w:pPr>
      <w:rPr>
        <w:rFonts w:hint="default"/>
      </w:rPr>
    </w:lvl>
    <w:lvl w:ilvl="8">
      <w:start w:val="1"/>
      <w:numFmt w:val="decimal"/>
      <w:lvlText w:val="%1.%2.%3.%4.%5.%6.%7.%8.%9"/>
      <w:lvlJc w:val="left"/>
      <w:pPr>
        <w:tabs>
          <w:tab w:val="num" w:pos="2475"/>
        </w:tabs>
        <w:ind w:left="2475" w:hanging="1584"/>
      </w:pPr>
      <w:rPr>
        <w:rFonts w:hint="default"/>
      </w:rPr>
    </w:lvl>
  </w:abstractNum>
  <w:abstractNum w:abstractNumId="24" w15:restartNumberingAfterBreak="0">
    <w:nsid w:val="5FC015B7"/>
    <w:multiLevelType w:val="hybridMultilevel"/>
    <w:tmpl w:val="D40EC4D8"/>
    <w:lvl w:ilvl="0" w:tplc="437E8B58">
      <w:start w:val="1"/>
      <w:numFmt w:val="none"/>
      <w:pStyle w:val="F7-chyba"/>
      <w:lvlText w:val="!! CHYBA !!"/>
      <w:lvlJc w:val="left"/>
      <w:pPr>
        <w:tabs>
          <w:tab w:val="num" w:pos="0"/>
        </w:tabs>
        <w:ind w:left="0" w:firstLine="0"/>
      </w:pPr>
      <w:rPr>
        <w:rFonts w:hint="default"/>
        <w:b/>
        <w:i w:val="0"/>
        <w:color w:val="FF0000"/>
      </w:rPr>
    </w:lvl>
    <w:lvl w:ilvl="1" w:tplc="3B36E4D8">
      <w:start w:val="1"/>
      <w:numFmt w:val="lowerLetter"/>
      <w:lvlText w:val="%2."/>
      <w:lvlJc w:val="left"/>
      <w:pPr>
        <w:tabs>
          <w:tab w:val="num" w:pos="1440"/>
        </w:tabs>
        <w:ind w:left="1440" w:hanging="360"/>
      </w:pPr>
    </w:lvl>
    <w:lvl w:ilvl="2" w:tplc="D2E08EDC" w:tentative="1">
      <w:start w:val="1"/>
      <w:numFmt w:val="lowerRoman"/>
      <w:lvlText w:val="%3."/>
      <w:lvlJc w:val="right"/>
      <w:pPr>
        <w:tabs>
          <w:tab w:val="num" w:pos="2160"/>
        </w:tabs>
        <w:ind w:left="2160" w:hanging="180"/>
      </w:pPr>
    </w:lvl>
    <w:lvl w:ilvl="3" w:tplc="314A3922" w:tentative="1">
      <w:start w:val="1"/>
      <w:numFmt w:val="decimal"/>
      <w:lvlText w:val="%4."/>
      <w:lvlJc w:val="left"/>
      <w:pPr>
        <w:tabs>
          <w:tab w:val="num" w:pos="2880"/>
        </w:tabs>
        <w:ind w:left="2880" w:hanging="360"/>
      </w:pPr>
    </w:lvl>
    <w:lvl w:ilvl="4" w:tplc="2B16551A" w:tentative="1">
      <w:start w:val="1"/>
      <w:numFmt w:val="lowerLetter"/>
      <w:lvlText w:val="%5."/>
      <w:lvlJc w:val="left"/>
      <w:pPr>
        <w:tabs>
          <w:tab w:val="num" w:pos="3600"/>
        </w:tabs>
        <w:ind w:left="3600" w:hanging="360"/>
      </w:pPr>
    </w:lvl>
    <w:lvl w:ilvl="5" w:tplc="2A160830" w:tentative="1">
      <w:start w:val="1"/>
      <w:numFmt w:val="lowerRoman"/>
      <w:lvlText w:val="%6."/>
      <w:lvlJc w:val="right"/>
      <w:pPr>
        <w:tabs>
          <w:tab w:val="num" w:pos="4320"/>
        </w:tabs>
        <w:ind w:left="4320" w:hanging="180"/>
      </w:pPr>
    </w:lvl>
    <w:lvl w:ilvl="6" w:tplc="5976691A" w:tentative="1">
      <w:start w:val="1"/>
      <w:numFmt w:val="decimal"/>
      <w:lvlText w:val="%7."/>
      <w:lvlJc w:val="left"/>
      <w:pPr>
        <w:tabs>
          <w:tab w:val="num" w:pos="5040"/>
        </w:tabs>
        <w:ind w:left="5040" w:hanging="360"/>
      </w:pPr>
    </w:lvl>
    <w:lvl w:ilvl="7" w:tplc="99CCCA8C" w:tentative="1">
      <w:start w:val="1"/>
      <w:numFmt w:val="lowerLetter"/>
      <w:lvlText w:val="%8."/>
      <w:lvlJc w:val="left"/>
      <w:pPr>
        <w:tabs>
          <w:tab w:val="num" w:pos="5760"/>
        </w:tabs>
        <w:ind w:left="5760" w:hanging="360"/>
      </w:pPr>
    </w:lvl>
    <w:lvl w:ilvl="8" w:tplc="19CE6564" w:tentative="1">
      <w:start w:val="1"/>
      <w:numFmt w:val="lowerRoman"/>
      <w:lvlText w:val="%9."/>
      <w:lvlJc w:val="right"/>
      <w:pPr>
        <w:tabs>
          <w:tab w:val="num" w:pos="6480"/>
        </w:tabs>
        <w:ind w:left="6480" w:hanging="180"/>
      </w:pPr>
    </w:lvl>
  </w:abstractNum>
  <w:abstractNum w:abstractNumId="25" w15:restartNumberingAfterBreak="0">
    <w:nsid w:val="6DB342B1"/>
    <w:multiLevelType w:val="multilevel"/>
    <w:tmpl w:val="0405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6" w15:restartNumberingAfterBreak="0">
    <w:nsid w:val="727C451C"/>
    <w:multiLevelType w:val="multilevel"/>
    <w:tmpl w:val="1098E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2B67FC8"/>
    <w:multiLevelType w:val="multilevel"/>
    <w:tmpl w:val="D4AC7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3943B4B"/>
    <w:multiLevelType w:val="multilevel"/>
    <w:tmpl w:val="FB126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3CF1294"/>
    <w:multiLevelType w:val="hybridMultilevel"/>
    <w:tmpl w:val="49B06666"/>
    <w:lvl w:ilvl="0" w:tplc="B7F0E5A6">
      <w:start w:val="1"/>
      <w:numFmt w:val="upperLetter"/>
      <w:pStyle w:val="F11-hlavnkapitola"/>
      <w:lvlText w:val="%1."/>
      <w:lvlJc w:val="left"/>
      <w:pPr>
        <w:tabs>
          <w:tab w:val="num" w:pos="794"/>
        </w:tabs>
        <w:ind w:left="794" w:hanging="794"/>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0" w15:restartNumberingAfterBreak="0">
    <w:nsid w:val="79BD2D61"/>
    <w:multiLevelType w:val="multilevel"/>
    <w:tmpl w:val="4EACA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07484830">
    <w:abstractNumId w:val="13"/>
  </w:num>
  <w:num w:numId="2" w16cid:durableId="1895313556">
    <w:abstractNumId w:val="24"/>
  </w:num>
  <w:num w:numId="3" w16cid:durableId="1213884590">
    <w:abstractNumId w:val="29"/>
  </w:num>
  <w:num w:numId="4" w16cid:durableId="249312893">
    <w:abstractNumId w:val="17"/>
  </w:num>
  <w:num w:numId="5" w16cid:durableId="315694586">
    <w:abstractNumId w:val="18"/>
  </w:num>
  <w:num w:numId="6" w16cid:durableId="108403674">
    <w:abstractNumId w:val="16"/>
  </w:num>
  <w:num w:numId="7" w16cid:durableId="604575006">
    <w:abstractNumId w:val="25"/>
  </w:num>
  <w:num w:numId="8" w16cid:durableId="2105804766">
    <w:abstractNumId w:val="21"/>
  </w:num>
  <w:num w:numId="9" w16cid:durableId="1101728839">
    <w:abstractNumId w:val="8"/>
  </w:num>
  <w:num w:numId="10" w16cid:durableId="147525618">
    <w:abstractNumId w:val="3"/>
  </w:num>
  <w:num w:numId="11" w16cid:durableId="1192184680">
    <w:abstractNumId w:val="2"/>
  </w:num>
  <w:num w:numId="12" w16cid:durableId="182088894">
    <w:abstractNumId w:val="1"/>
  </w:num>
  <w:num w:numId="13" w16cid:durableId="141392017">
    <w:abstractNumId w:val="0"/>
  </w:num>
  <w:num w:numId="14" w16cid:durableId="1168059388">
    <w:abstractNumId w:val="10"/>
  </w:num>
  <w:num w:numId="15" w16cid:durableId="1611010598">
    <w:abstractNumId w:val="9"/>
  </w:num>
  <w:num w:numId="16" w16cid:durableId="37248296">
    <w:abstractNumId w:val="7"/>
  </w:num>
  <w:num w:numId="17" w16cid:durableId="154491525">
    <w:abstractNumId w:val="6"/>
  </w:num>
  <w:num w:numId="18" w16cid:durableId="979844708">
    <w:abstractNumId w:val="5"/>
  </w:num>
  <w:num w:numId="19" w16cid:durableId="1197698942">
    <w:abstractNumId w:val="4"/>
  </w:num>
  <w:num w:numId="20" w16cid:durableId="567231113">
    <w:abstractNumId w:val="12"/>
  </w:num>
  <w:num w:numId="21" w16cid:durableId="1864786788">
    <w:abstractNumId w:val="23"/>
  </w:num>
  <w:num w:numId="22" w16cid:durableId="907761201">
    <w:abstractNumId w:val="11"/>
  </w:num>
  <w:num w:numId="23" w16cid:durableId="801576823">
    <w:abstractNumId w:val="20"/>
  </w:num>
  <w:num w:numId="24" w16cid:durableId="2076659369">
    <w:abstractNumId w:val="28"/>
  </w:num>
  <w:num w:numId="25" w16cid:durableId="1775054384">
    <w:abstractNumId w:val="26"/>
  </w:num>
  <w:num w:numId="26" w16cid:durableId="1232540532">
    <w:abstractNumId w:val="19"/>
  </w:num>
  <w:num w:numId="27" w16cid:durableId="511141412">
    <w:abstractNumId w:val="27"/>
  </w:num>
  <w:num w:numId="28" w16cid:durableId="1711955166">
    <w:abstractNumId w:val="15"/>
  </w:num>
  <w:num w:numId="29" w16cid:durableId="1835804198">
    <w:abstractNumId w:val="22"/>
  </w:num>
  <w:num w:numId="30" w16cid:durableId="1394699451">
    <w:abstractNumId w:val="14"/>
  </w:num>
  <w:num w:numId="31" w16cid:durableId="821198362">
    <w:abstractNumId w:val="30"/>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0804" w:allStyles="0" w:customStyles="0" w:latentStyles="1" w:stylesInUse="0" w:headingStyles="0" w:numberingStyles="0" w:tableStyles="0" w:directFormattingOnRuns="0" w:directFormattingOnParagraphs="0" w:directFormattingOnNumbering="0" w:directFormattingOnTables="1" w:clearFormatting="0" w:top3HeadingStyles="0" w:visibleStyles="0" w:alternateStyleNames="0"/>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5CC6"/>
    <w:rsid w:val="00001A0D"/>
    <w:rsid w:val="000029A3"/>
    <w:rsid w:val="0000353E"/>
    <w:rsid w:val="0000425F"/>
    <w:rsid w:val="000051B3"/>
    <w:rsid w:val="00005C47"/>
    <w:rsid w:val="000064D6"/>
    <w:rsid w:val="00006E35"/>
    <w:rsid w:val="00010703"/>
    <w:rsid w:val="00011573"/>
    <w:rsid w:val="00011BEC"/>
    <w:rsid w:val="00013232"/>
    <w:rsid w:val="00016492"/>
    <w:rsid w:val="00017E0A"/>
    <w:rsid w:val="00020F03"/>
    <w:rsid w:val="00021D97"/>
    <w:rsid w:val="0002277D"/>
    <w:rsid w:val="000237A9"/>
    <w:rsid w:val="00026B23"/>
    <w:rsid w:val="00026F85"/>
    <w:rsid w:val="000326E4"/>
    <w:rsid w:val="0003273E"/>
    <w:rsid w:val="00032CD3"/>
    <w:rsid w:val="00033378"/>
    <w:rsid w:val="000348FD"/>
    <w:rsid w:val="0003583E"/>
    <w:rsid w:val="00035DD6"/>
    <w:rsid w:val="000363FF"/>
    <w:rsid w:val="000378F9"/>
    <w:rsid w:val="00040650"/>
    <w:rsid w:val="00040CE8"/>
    <w:rsid w:val="00040DEC"/>
    <w:rsid w:val="00041B2D"/>
    <w:rsid w:val="00043963"/>
    <w:rsid w:val="000452CD"/>
    <w:rsid w:val="00045D38"/>
    <w:rsid w:val="00047030"/>
    <w:rsid w:val="00047888"/>
    <w:rsid w:val="00047D97"/>
    <w:rsid w:val="00047F54"/>
    <w:rsid w:val="000502C0"/>
    <w:rsid w:val="00050575"/>
    <w:rsid w:val="00052178"/>
    <w:rsid w:val="0005404F"/>
    <w:rsid w:val="00054FEF"/>
    <w:rsid w:val="000564A3"/>
    <w:rsid w:val="00061775"/>
    <w:rsid w:val="00062BEA"/>
    <w:rsid w:val="00063F4E"/>
    <w:rsid w:val="00065B2F"/>
    <w:rsid w:val="000667E6"/>
    <w:rsid w:val="000672E3"/>
    <w:rsid w:val="000702F0"/>
    <w:rsid w:val="0007034E"/>
    <w:rsid w:val="0007090F"/>
    <w:rsid w:val="00070C89"/>
    <w:rsid w:val="00071169"/>
    <w:rsid w:val="0007145D"/>
    <w:rsid w:val="00073A88"/>
    <w:rsid w:val="00073CAB"/>
    <w:rsid w:val="00073D6F"/>
    <w:rsid w:val="000755DF"/>
    <w:rsid w:val="000763EB"/>
    <w:rsid w:val="000766BF"/>
    <w:rsid w:val="0007674D"/>
    <w:rsid w:val="000767DF"/>
    <w:rsid w:val="00076A25"/>
    <w:rsid w:val="00076A2B"/>
    <w:rsid w:val="00080750"/>
    <w:rsid w:val="00080A22"/>
    <w:rsid w:val="00081DCE"/>
    <w:rsid w:val="00084075"/>
    <w:rsid w:val="00084996"/>
    <w:rsid w:val="00091210"/>
    <w:rsid w:val="00092137"/>
    <w:rsid w:val="000923E4"/>
    <w:rsid w:val="00093200"/>
    <w:rsid w:val="00093C6A"/>
    <w:rsid w:val="00093E98"/>
    <w:rsid w:val="000940D0"/>
    <w:rsid w:val="000A0176"/>
    <w:rsid w:val="000A06A7"/>
    <w:rsid w:val="000A20E5"/>
    <w:rsid w:val="000A2833"/>
    <w:rsid w:val="000A2D6F"/>
    <w:rsid w:val="000A3FFF"/>
    <w:rsid w:val="000A572D"/>
    <w:rsid w:val="000A5FDF"/>
    <w:rsid w:val="000A6560"/>
    <w:rsid w:val="000A73CB"/>
    <w:rsid w:val="000A755E"/>
    <w:rsid w:val="000A7729"/>
    <w:rsid w:val="000B0FBB"/>
    <w:rsid w:val="000B18F3"/>
    <w:rsid w:val="000B2222"/>
    <w:rsid w:val="000B2426"/>
    <w:rsid w:val="000B39A5"/>
    <w:rsid w:val="000B51E9"/>
    <w:rsid w:val="000B579C"/>
    <w:rsid w:val="000B57A2"/>
    <w:rsid w:val="000B5A2B"/>
    <w:rsid w:val="000B7BA4"/>
    <w:rsid w:val="000C0E0E"/>
    <w:rsid w:val="000C17C8"/>
    <w:rsid w:val="000C34DC"/>
    <w:rsid w:val="000C4D6D"/>
    <w:rsid w:val="000C5471"/>
    <w:rsid w:val="000C727D"/>
    <w:rsid w:val="000C772F"/>
    <w:rsid w:val="000D25CC"/>
    <w:rsid w:val="000D3C66"/>
    <w:rsid w:val="000D4381"/>
    <w:rsid w:val="000D5282"/>
    <w:rsid w:val="000D580F"/>
    <w:rsid w:val="000E0C24"/>
    <w:rsid w:val="000E2910"/>
    <w:rsid w:val="000E3678"/>
    <w:rsid w:val="000E3D98"/>
    <w:rsid w:val="000E41E3"/>
    <w:rsid w:val="000E42A1"/>
    <w:rsid w:val="000E42FF"/>
    <w:rsid w:val="000E4ADE"/>
    <w:rsid w:val="000E5D25"/>
    <w:rsid w:val="000E6925"/>
    <w:rsid w:val="000E7127"/>
    <w:rsid w:val="000E7418"/>
    <w:rsid w:val="000F02A2"/>
    <w:rsid w:val="000F0587"/>
    <w:rsid w:val="000F17F3"/>
    <w:rsid w:val="000F1AE6"/>
    <w:rsid w:val="000F2443"/>
    <w:rsid w:val="000F274E"/>
    <w:rsid w:val="000F27E1"/>
    <w:rsid w:val="000F330C"/>
    <w:rsid w:val="000F4953"/>
    <w:rsid w:val="000F5A28"/>
    <w:rsid w:val="000F5BBC"/>
    <w:rsid w:val="000F687B"/>
    <w:rsid w:val="000F75AD"/>
    <w:rsid w:val="000F75F1"/>
    <w:rsid w:val="000F7C86"/>
    <w:rsid w:val="0010078F"/>
    <w:rsid w:val="00102DF4"/>
    <w:rsid w:val="00103F2D"/>
    <w:rsid w:val="001108B4"/>
    <w:rsid w:val="00111B20"/>
    <w:rsid w:val="00112C69"/>
    <w:rsid w:val="00112D51"/>
    <w:rsid w:val="00113408"/>
    <w:rsid w:val="00113C5A"/>
    <w:rsid w:val="00113E5E"/>
    <w:rsid w:val="0011458C"/>
    <w:rsid w:val="00114722"/>
    <w:rsid w:val="001169F2"/>
    <w:rsid w:val="00117D27"/>
    <w:rsid w:val="0012091C"/>
    <w:rsid w:val="001211C9"/>
    <w:rsid w:val="00121FAB"/>
    <w:rsid w:val="0012308F"/>
    <w:rsid w:val="00126B10"/>
    <w:rsid w:val="00127396"/>
    <w:rsid w:val="00127ED9"/>
    <w:rsid w:val="00130E22"/>
    <w:rsid w:val="00131B94"/>
    <w:rsid w:val="00131E29"/>
    <w:rsid w:val="00134A55"/>
    <w:rsid w:val="00137FDE"/>
    <w:rsid w:val="00140F96"/>
    <w:rsid w:val="00141CF1"/>
    <w:rsid w:val="0014277E"/>
    <w:rsid w:val="0014300F"/>
    <w:rsid w:val="001443DF"/>
    <w:rsid w:val="001444EC"/>
    <w:rsid w:val="00145F9D"/>
    <w:rsid w:val="001462C0"/>
    <w:rsid w:val="00146942"/>
    <w:rsid w:val="00146BBC"/>
    <w:rsid w:val="001511F4"/>
    <w:rsid w:val="001522B5"/>
    <w:rsid w:val="00153D75"/>
    <w:rsid w:val="00153FD1"/>
    <w:rsid w:val="00154229"/>
    <w:rsid w:val="00154C56"/>
    <w:rsid w:val="00154D3A"/>
    <w:rsid w:val="001555FC"/>
    <w:rsid w:val="0015633B"/>
    <w:rsid w:val="00160EB2"/>
    <w:rsid w:val="00161993"/>
    <w:rsid w:val="001628BC"/>
    <w:rsid w:val="0016361E"/>
    <w:rsid w:val="00165789"/>
    <w:rsid w:val="0016695F"/>
    <w:rsid w:val="00170309"/>
    <w:rsid w:val="00170DE1"/>
    <w:rsid w:val="001715D9"/>
    <w:rsid w:val="00172511"/>
    <w:rsid w:val="00172F1C"/>
    <w:rsid w:val="0017506A"/>
    <w:rsid w:val="00175577"/>
    <w:rsid w:val="00177E1C"/>
    <w:rsid w:val="00177E5E"/>
    <w:rsid w:val="0018406F"/>
    <w:rsid w:val="00184F14"/>
    <w:rsid w:val="0018525E"/>
    <w:rsid w:val="0018729B"/>
    <w:rsid w:val="0018797C"/>
    <w:rsid w:val="00191AE8"/>
    <w:rsid w:val="00193268"/>
    <w:rsid w:val="00193655"/>
    <w:rsid w:val="00193CC3"/>
    <w:rsid w:val="0019405D"/>
    <w:rsid w:val="00194285"/>
    <w:rsid w:val="00194945"/>
    <w:rsid w:val="001949DC"/>
    <w:rsid w:val="001956CF"/>
    <w:rsid w:val="001970D7"/>
    <w:rsid w:val="00197E01"/>
    <w:rsid w:val="001A085A"/>
    <w:rsid w:val="001A0CB6"/>
    <w:rsid w:val="001A1B9B"/>
    <w:rsid w:val="001A3CA7"/>
    <w:rsid w:val="001A4AA9"/>
    <w:rsid w:val="001A68C4"/>
    <w:rsid w:val="001A6B3C"/>
    <w:rsid w:val="001A6ED5"/>
    <w:rsid w:val="001A74F2"/>
    <w:rsid w:val="001A7D5A"/>
    <w:rsid w:val="001A7DE3"/>
    <w:rsid w:val="001A7E89"/>
    <w:rsid w:val="001B0302"/>
    <w:rsid w:val="001B05F4"/>
    <w:rsid w:val="001B19BC"/>
    <w:rsid w:val="001B1BBD"/>
    <w:rsid w:val="001B23C8"/>
    <w:rsid w:val="001B2BE9"/>
    <w:rsid w:val="001B306F"/>
    <w:rsid w:val="001B353C"/>
    <w:rsid w:val="001B4878"/>
    <w:rsid w:val="001B489F"/>
    <w:rsid w:val="001B69B7"/>
    <w:rsid w:val="001B7A52"/>
    <w:rsid w:val="001C02E6"/>
    <w:rsid w:val="001C21DF"/>
    <w:rsid w:val="001C233E"/>
    <w:rsid w:val="001C292D"/>
    <w:rsid w:val="001C3FA2"/>
    <w:rsid w:val="001C4F9E"/>
    <w:rsid w:val="001C5A91"/>
    <w:rsid w:val="001C5D0C"/>
    <w:rsid w:val="001C5DB0"/>
    <w:rsid w:val="001C6F31"/>
    <w:rsid w:val="001D032B"/>
    <w:rsid w:val="001D0D99"/>
    <w:rsid w:val="001D1225"/>
    <w:rsid w:val="001D1343"/>
    <w:rsid w:val="001D441A"/>
    <w:rsid w:val="001D4B56"/>
    <w:rsid w:val="001D4CF8"/>
    <w:rsid w:val="001D5163"/>
    <w:rsid w:val="001D6D5D"/>
    <w:rsid w:val="001D7A7E"/>
    <w:rsid w:val="001E1A41"/>
    <w:rsid w:val="001E2936"/>
    <w:rsid w:val="001E2B0D"/>
    <w:rsid w:val="001E476B"/>
    <w:rsid w:val="001E507C"/>
    <w:rsid w:val="001E53EB"/>
    <w:rsid w:val="001E57AB"/>
    <w:rsid w:val="001E67FF"/>
    <w:rsid w:val="001E6913"/>
    <w:rsid w:val="001E6C4F"/>
    <w:rsid w:val="001F1241"/>
    <w:rsid w:val="001F1A22"/>
    <w:rsid w:val="001F1ACC"/>
    <w:rsid w:val="001F297A"/>
    <w:rsid w:val="001F2C9A"/>
    <w:rsid w:val="001F4B06"/>
    <w:rsid w:val="001F5BD4"/>
    <w:rsid w:val="001F627F"/>
    <w:rsid w:val="001F65C1"/>
    <w:rsid w:val="002006D5"/>
    <w:rsid w:val="00201CD7"/>
    <w:rsid w:val="002027ED"/>
    <w:rsid w:val="00202F64"/>
    <w:rsid w:val="00203977"/>
    <w:rsid w:val="00206A7F"/>
    <w:rsid w:val="00206A9C"/>
    <w:rsid w:val="00210DA8"/>
    <w:rsid w:val="00210EEA"/>
    <w:rsid w:val="002127C7"/>
    <w:rsid w:val="00212B9E"/>
    <w:rsid w:val="00212DDA"/>
    <w:rsid w:val="002147C4"/>
    <w:rsid w:val="00216EFA"/>
    <w:rsid w:val="0021765E"/>
    <w:rsid w:val="0021778F"/>
    <w:rsid w:val="00221643"/>
    <w:rsid w:val="00221EE4"/>
    <w:rsid w:val="002237EC"/>
    <w:rsid w:val="002241EE"/>
    <w:rsid w:val="00224347"/>
    <w:rsid w:val="00224EAE"/>
    <w:rsid w:val="00225670"/>
    <w:rsid w:val="002268F9"/>
    <w:rsid w:val="00226D28"/>
    <w:rsid w:val="00227323"/>
    <w:rsid w:val="002273F8"/>
    <w:rsid w:val="00230204"/>
    <w:rsid w:val="0023028F"/>
    <w:rsid w:val="00230A3C"/>
    <w:rsid w:val="00230B88"/>
    <w:rsid w:val="00231842"/>
    <w:rsid w:val="00231C56"/>
    <w:rsid w:val="00231E15"/>
    <w:rsid w:val="002325C8"/>
    <w:rsid w:val="00232D93"/>
    <w:rsid w:val="00233450"/>
    <w:rsid w:val="00235E9D"/>
    <w:rsid w:val="00236025"/>
    <w:rsid w:val="0023608B"/>
    <w:rsid w:val="00236922"/>
    <w:rsid w:val="00236A18"/>
    <w:rsid w:val="00236C7C"/>
    <w:rsid w:val="00236FC4"/>
    <w:rsid w:val="00237B59"/>
    <w:rsid w:val="00240FEC"/>
    <w:rsid w:val="0024226C"/>
    <w:rsid w:val="002423A0"/>
    <w:rsid w:val="002438EA"/>
    <w:rsid w:val="00243DCC"/>
    <w:rsid w:val="00243F5F"/>
    <w:rsid w:val="00245331"/>
    <w:rsid w:val="00245CA0"/>
    <w:rsid w:val="00246476"/>
    <w:rsid w:val="0024760D"/>
    <w:rsid w:val="002476C8"/>
    <w:rsid w:val="00252816"/>
    <w:rsid w:val="00252C08"/>
    <w:rsid w:val="0025356A"/>
    <w:rsid w:val="002548DB"/>
    <w:rsid w:val="00255335"/>
    <w:rsid w:val="00255E9C"/>
    <w:rsid w:val="00255F84"/>
    <w:rsid w:val="00256118"/>
    <w:rsid w:val="0025641E"/>
    <w:rsid w:val="00256692"/>
    <w:rsid w:val="00257859"/>
    <w:rsid w:val="00262023"/>
    <w:rsid w:val="00262CDC"/>
    <w:rsid w:val="0026336D"/>
    <w:rsid w:val="00263B67"/>
    <w:rsid w:val="002659D6"/>
    <w:rsid w:val="00266BB2"/>
    <w:rsid w:val="00267F47"/>
    <w:rsid w:val="0027138C"/>
    <w:rsid w:val="0027263C"/>
    <w:rsid w:val="002746C8"/>
    <w:rsid w:val="002749F1"/>
    <w:rsid w:val="00274B2A"/>
    <w:rsid w:val="00276830"/>
    <w:rsid w:val="002772D7"/>
    <w:rsid w:val="002772EA"/>
    <w:rsid w:val="00277457"/>
    <w:rsid w:val="002804AB"/>
    <w:rsid w:val="0028058D"/>
    <w:rsid w:val="0028110E"/>
    <w:rsid w:val="0028168C"/>
    <w:rsid w:val="00281857"/>
    <w:rsid w:val="00282531"/>
    <w:rsid w:val="00283492"/>
    <w:rsid w:val="00283AE5"/>
    <w:rsid w:val="00283F1B"/>
    <w:rsid w:val="00284C66"/>
    <w:rsid w:val="0029073F"/>
    <w:rsid w:val="00291676"/>
    <w:rsid w:val="00291E39"/>
    <w:rsid w:val="0029280B"/>
    <w:rsid w:val="00292C1D"/>
    <w:rsid w:val="00292EC0"/>
    <w:rsid w:val="00293679"/>
    <w:rsid w:val="00293BA3"/>
    <w:rsid w:val="00294A46"/>
    <w:rsid w:val="00296721"/>
    <w:rsid w:val="00296E4C"/>
    <w:rsid w:val="00296EFF"/>
    <w:rsid w:val="00297239"/>
    <w:rsid w:val="00297927"/>
    <w:rsid w:val="00297E46"/>
    <w:rsid w:val="002A0553"/>
    <w:rsid w:val="002A0933"/>
    <w:rsid w:val="002A2D40"/>
    <w:rsid w:val="002A3111"/>
    <w:rsid w:val="002A374D"/>
    <w:rsid w:val="002A3C7D"/>
    <w:rsid w:val="002A44A9"/>
    <w:rsid w:val="002A4D2E"/>
    <w:rsid w:val="002B0AF2"/>
    <w:rsid w:val="002B0AFD"/>
    <w:rsid w:val="002B0B15"/>
    <w:rsid w:val="002B14B5"/>
    <w:rsid w:val="002B2991"/>
    <w:rsid w:val="002B3C38"/>
    <w:rsid w:val="002B4A3F"/>
    <w:rsid w:val="002B5380"/>
    <w:rsid w:val="002B5926"/>
    <w:rsid w:val="002B5C76"/>
    <w:rsid w:val="002B6FCD"/>
    <w:rsid w:val="002B72A2"/>
    <w:rsid w:val="002B7380"/>
    <w:rsid w:val="002B78D0"/>
    <w:rsid w:val="002B7901"/>
    <w:rsid w:val="002C1698"/>
    <w:rsid w:val="002C1FC2"/>
    <w:rsid w:val="002C2049"/>
    <w:rsid w:val="002C3975"/>
    <w:rsid w:val="002C4E32"/>
    <w:rsid w:val="002C50AC"/>
    <w:rsid w:val="002C5176"/>
    <w:rsid w:val="002C51AD"/>
    <w:rsid w:val="002C577F"/>
    <w:rsid w:val="002C5928"/>
    <w:rsid w:val="002C6682"/>
    <w:rsid w:val="002C7913"/>
    <w:rsid w:val="002D0CC4"/>
    <w:rsid w:val="002D0CD4"/>
    <w:rsid w:val="002D11C7"/>
    <w:rsid w:val="002D22C6"/>
    <w:rsid w:val="002D28A9"/>
    <w:rsid w:val="002D6A75"/>
    <w:rsid w:val="002D7CBC"/>
    <w:rsid w:val="002E1D29"/>
    <w:rsid w:val="002E3325"/>
    <w:rsid w:val="002E497E"/>
    <w:rsid w:val="002E754C"/>
    <w:rsid w:val="002E76D1"/>
    <w:rsid w:val="002F0500"/>
    <w:rsid w:val="002F1160"/>
    <w:rsid w:val="002F3918"/>
    <w:rsid w:val="002F3B85"/>
    <w:rsid w:val="002F4BF6"/>
    <w:rsid w:val="002F5491"/>
    <w:rsid w:val="002F7A8F"/>
    <w:rsid w:val="00301671"/>
    <w:rsid w:val="00301881"/>
    <w:rsid w:val="0030211F"/>
    <w:rsid w:val="00302961"/>
    <w:rsid w:val="00302CD0"/>
    <w:rsid w:val="00303102"/>
    <w:rsid w:val="00304242"/>
    <w:rsid w:val="00307253"/>
    <w:rsid w:val="0030766B"/>
    <w:rsid w:val="003078EB"/>
    <w:rsid w:val="00307E7E"/>
    <w:rsid w:val="003104E7"/>
    <w:rsid w:val="00310E2F"/>
    <w:rsid w:val="003114D0"/>
    <w:rsid w:val="00311AE0"/>
    <w:rsid w:val="00311D2E"/>
    <w:rsid w:val="0031400E"/>
    <w:rsid w:val="003172DF"/>
    <w:rsid w:val="003177AF"/>
    <w:rsid w:val="00317BF7"/>
    <w:rsid w:val="00320015"/>
    <w:rsid w:val="00321602"/>
    <w:rsid w:val="00321AE8"/>
    <w:rsid w:val="00322445"/>
    <w:rsid w:val="00322CF1"/>
    <w:rsid w:val="00324545"/>
    <w:rsid w:val="0032573A"/>
    <w:rsid w:val="00327439"/>
    <w:rsid w:val="003274DC"/>
    <w:rsid w:val="00327F8D"/>
    <w:rsid w:val="00327F8E"/>
    <w:rsid w:val="003301F8"/>
    <w:rsid w:val="00330746"/>
    <w:rsid w:val="00331400"/>
    <w:rsid w:val="0033156B"/>
    <w:rsid w:val="003322D8"/>
    <w:rsid w:val="003337EA"/>
    <w:rsid w:val="00333885"/>
    <w:rsid w:val="003343C4"/>
    <w:rsid w:val="00334497"/>
    <w:rsid w:val="00340CA2"/>
    <w:rsid w:val="00341086"/>
    <w:rsid w:val="00341E98"/>
    <w:rsid w:val="00343136"/>
    <w:rsid w:val="00343CFF"/>
    <w:rsid w:val="00344296"/>
    <w:rsid w:val="00346522"/>
    <w:rsid w:val="00347B43"/>
    <w:rsid w:val="0035034F"/>
    <w:rsid w:val="00351441"/>
    <w:rsid w:val="003524F1"/>
    <w:rsid w:val="00352768"/>
    <w:rsid w:val="00352E92"/>
    <w:rsid w:val="00352F7A"/>
    <w:rsid w:val="00356DCD"/>
    <w:rsid w:val="0036129D"/>
    <w:rsid w:val="00362096"/>
    <w:rsid w:val="0036311C"/>
    <w:rsid w:val="00364312"/>
    <w:rsid w:val="00364C9F"/>
    <w:rsid w:val="00366ABC"/>
    <w:rsid w:val="00370EB8"/>
    <w:rsid w:val="00371045"/>
    <w:rsid w:val="00371B42"/>
    <w:rsid w:val="00371CF8"/>
    <w:rsid w:val="00372ACE"/>
    <w:rsid w:val="00372D58"/>
    <w:rsid w:val="003731A5"/>
    <w:rsid w:val="003736DA"/>
    <w:rsid w:val="00373731"/>
    <w:rsid w:val="00374CFA"/>
    <w:rsid w:val="003751F0"/>
    <w:rsid w:val="00375524"/>
    <w:rsid w:val="0037564F"/>
    <w:rsid w:val="003761BB"/>
    <w:rsid w:val="00381E63"/>
    <w:rsid w:val="00382A16"/>
    <w:rsid w:val="00383735"/>
    <w:rsid w:val="00383E57"/>
    <w:rsid w:val="00384699"/>
    <w:rsid w:val="00386215"/>
    <w:rsid w:val="003864E2"/>
    <w:rsid w:val="003866DC"/>
    <w:rsid w:val="003872AC"/>
    <w:rsid w:val="003900AC"/>
    <w:rsid w:val="00390999"/>
    <w:rsid w:val="003909E0"/>
    <w:rsid w:val="003911D6"/>
    <w:rsid w:val="003911EF"/>
    <w:rsid w:val="00391A9C"/>
    <w:rsid w:val="00391EEB"/>
    <w:rsid w:val="00394B7B"/>
    <w:rsid w:val="00395B87"/>
    <w:rsid w:val="00397E34"/>
    <w:rsid w:val="003A0565"/>
    <w:rsid w:val="003A0BB4"/>
    <w:rsid w:val="003A2CC7"/>
    <w:rsid w:val="003A32D9"/>
    <w:rsid w:val="003A33EF"/>
    <w:rsid w:val="003A415C"/>
    <w:rsid w:val="003A44C5"/>
    <w:rsid w:val="003A4774"/>
    <w:rsid w:val="003A5592"/>
    <w:rsid w:val="003A68DD"/>
    <w:rsid w:val="003A7050"/>
    <w:rsid w:val="003A7482"/>
    <w:rsid w:val="003A75FD"/>
    <w:rsid w:val="003A7DAF"/>
    <w:rsid w:val="003B397A"/>
    <w:rsid w:val="003B3BF6"/>
    <w:rsid w:val="003B4278"/>
    <w:rsid w:val="003B4C8C"/>
    <w:rsid w:val="003B5520"/>
    <w:rsid w:val="003B6B7E"/>
    <w:rsid w:val="003C0075"/>
    <w:rsid w:val="003C06F7"/>
    <w:rsid w:val="003C1594"/>
    <w:rsid w:val="003C19B7"/>
    <w:rsid w:val="003C4059"/>
    <w:rsid w:val="003C50F1"/>
    <w:rsid w:val="003C511D"/>
    <w:rsid w:val="003C537A"/>
    <w:rsid w:val="003C5AFB"/>
    <w:rsid w:val="003C6392"/>
    <w:rsid w:val="003C681A"/>
    <w:rsid w:val="003C7010"/>
    <w:rsid w:val="003C7DAE"/>
    <w:rsid w:val="003D10A8"/>
    <w:rsid w:val="003D2083"/>
    <w:rsid w:val="003D20CC"/>
    <w:rsid w:val="003D2B0F"/>
    <w:rsid w:val="003D3C0F"/>
    <w:rsid w:val="003D626C"/>
    <w:rsid w:val="003D7BE4"/>
    <w:rsid w:val="003E03EB"/>
    <w:rsid w:val="003E0642"/>
    <w:rsid w:val="003E1363"/>
    <w:rsid w:val="003E31D0"/>
    <w:rsid w:val="003E450D"/>
    <w:rsid w:val="003E54FD"/>
    <w:rsid w:val="003E5C35"/>
    <w:rsid w:val="003F0943"/>
    <w:rsid w:val="003F13C4"/>
    <w:rsid w:val="003F142F"/>
    <w:rsid w:val="003F2486"/>
    <w:rsid w:val="003F2E64"/>
    <w:rsid w:val="003F4640"/>
    <w:rsid w:val="003F6488"/>
    <w:rsid w:val="003F69CE"/>
    <w:rsid w:val="003F69D9"/>
    <w:rsid w:val="003F6F64"/>
    <w:rsid w:val="003F7813"/>
    <w:rsid w:val="00400B6B"/>
    <w:rsid w:val="004021B9"/>
    <w:rsid w:val="00402409"/>
    <w:rsid w:val="00404143"/>
    <w:rsid w:val="00404DB5"/>
    <w:rsid w:val="00405D0D"/>
    <w:rsid w:val="0041004D"/>
    <w:rsid w:val="004113D5"/>
    <w:rsid w:val="004115C0"/>
    <w:rsid w:val="004118D0"/>
    <w:rsid w:val="00411B33"/>
    <w:rsid w:val="004125BB"/>
    <w:rsid w:val="00412819"/>
    <w:rsid w:val="0041337E"/>
    <w:rsid w:val="004177E3"/>
    <w:rsid w:val="004202CB"/>
    <w:rsid w:val="00420D53"/>
    <w:rsid w:val="00421B88"/>
    <w:rsid w:val="004224B6"/>
    <w:rsid w:val="004235A0"/>
    <w:rsid w:val="004238B6"/>
    <w:rsid w:val="00423C1E"/>
    <w:rsid w:val="00423C6F"/>
    <w:rsid w:val="00424771"/>
    <w:rsid w:val="00425B35"/>
    <w:rsid w:val="00427801"/>
    <w:rsid w:val="004278C3"/>
    <w:rsid w:val="0043115E"/>
    <w:rsid w:val="00431E52"/>
    <w:rsid w:val="00433AB4"/>
    <w:rsid w:val="004347CE"/>
    <w:rsid w:val="0043546F"/>
    <w:rsid w:val="004370DA"/>
    <w:rsid w:val="00440AB9"/>
    <w:rsid w:val="004428A1"/>
    <w:rsid w:val="004430F8"/>
    <w:rsid w:val="00443C2E"/>
    <w:rsid w:val="004444B6"/>
    <w:rsid w:val="00445920"/>
    <w:rsid w:val="0044597A"/>
    <w:rsid w:val="00445D92"/>
    <w:rsid w:val="00447E3C"/>
    <w:rsid w:val="00451482"/>
    <w:rsid w:val="0045291A"/>
    <w:rsid w:val="00452BD8"/>
    <w:rsid w:val="004539E4"/>
    <w:rsid w:val="00453BAC"/>
    <w:rsid w:val="004544F8"/>
    <w:rsid w:val="00454D44"/>
    <w:rsid w:val="00455259"/>
    <w:rsid w:val="00455A3C"/>
    <w:rsid w:val="0046155B"/>
    <w:rsid w:val="004634EE"/>
    <w:rsid w:val="00463E8F"/>
    <w:rsid w:val="00464475"/>
    <w:rsid w:val="00466116"/>
    <w:rsid w:val="00467BA4"/>
    <w:rsid w:val="004705A5"/>
    <w:rsid w:val="0047156B"/>
    <w:rsid w:val="004715F4"/>
    <w:rsid w:val="0047275D"/>
    <w:rsid w:val="00475575"/>
    <w:rsid w:val="004761F2"/>
    <w:rsid w:val="00480C04"/>
    <w:rsid w:val="00480E25"/>
    <w:rsid w:val="00483678"/>
    <w:rsid w:val="00484077"/>
    <w:rsid w:val="00484668"/>
    <w:rsid w:val="004846D8"/>
    <w:rsid w:val="0048487F"/>
    <w:rsid w:val="00485D81"/>
    <w:rsid w:val="004863EC"/>
    <w:rsid w:val="00486C38"/>
    <w:rsid w:val="0048732C"/>
    <w:rsid w:val="00487542"/>
    <w:rsid w:val="00487ECF"/>
    <w:rsid w:val="0049074E"/>
    <w:rsid w:val="004907F4"/>
    <w:rsid w:val="00493172"/>
    <w:rsid w:val="00493333"/>
    <w:rsid w:val="00494414"/>
    <w:rsid w:val="004951BE"/>
    <w:rsid w:val="0049538C"/>
    <w:rsid w:val="004955BB"/>
    <w:rsid w:val="00497C14"/>
    <w:rsid w:val="004A0EA9"/>
    <w:rsid w:val="004A3533"/>
    <w:rsid w:val="004A3C5B"/>
    <w:rsid w:val="004A461C"/>
    <w:rsid w:val="004A4780"/>
    <w:rsid w:val="004A47DC"/>
    <w:rsid w:val="004A52B6"/>
    <w:rsid w:val="004B10E5"/>
    <w:rsid w:val="004B1F43"/>
    <w:rsid w:val="004B25A0"/>
    <w:rsid w:val="004B29BE"/>
    <w:rsid w:val="004B366C"/>
    <w:rsid w:val="004B3A45"/>
    <w:rsid w:val="004B4063"/>
    <w:rsid w:val="004B4F7D"/>
    <w:rsid w:val="004B4F84"/>
    <w:rsid w:val="004B5505"/>
    <w:rsid w:val="004B55E8"/>
    <w:rsid w:val="004B5CB6"/>
    <w:rsid w:val="004C1341"/>
    <w:rsid w:val="004C21C9"/>
    <w:rsid w:val="004C2C00"/>
    <w:rsid w:val="004C2FA8"/>
    <w:rsid w:val="004C3497"/>
    <w:rsid w:val="004C352C"/>
    <w:rsid w:val="004C3BA7"/>
    <w:rsid w:val="004C4404"/>
    <w:rsid w:val="004C5035"/>
    <w:rsid w:val="004C5276"/>
    <w:rsid w:val="004C5F47"/>
    <w:rsid w:val="004C6D56"/>
    <w:rsid w:val="004C7E96"/>
    <w:rsid w:val="004C7EA7"/>
    <w:rsid w:val="004D1014"/>
    <w:rsid w:val="004D3633"/>
    <w:rsid w:val="004D66DB"/>
    <w:rsid w:val="004D79D4"/>
    <w:rsid w:val="004E0978"/>
    <w:rsid w:val="004E14D9"/>
    <w:rsid w:val="004E1CB1"/>
    <w:rsid w:val="004E2D7E"/>
    <w:rsid w:val="004E4B6A"/>
    <w:rsid w:val="004E4ED5"/>
    <w:rsid w:val="004E6300"/>
    <w:rsid w:val="004F1DDB"/>
    <w:rsid w:val="004F2995"/>
    <w:rsid w:val="004F324F"/>
    <w:rsid w:val="004F4064"/>
    <w:rsid w:val="004F5136"/>
    <w:rsid w:val="004F5DCA"/>
    <w:rsid w:val="004F688F"/>
    <w:rsid w:val="004F74B4"/>
    <w:rsid w:val="004F7624"/>
    <w:rsid w:val="005007C8"/>
    <w:rsid w:val="005021C7"/>
    <w:rsid w:val="00502D84"/>
    <w:rsid w:val="00504B64"/>
    <w:rsid w:val="00505A54"/>
    <w:rsid w:val="00505FAA"/>
    <w:rsid w:val="00506095"/>
    <w:rsid w:val="00506ACA"/>
    <w:rsid w:val="00506CD0"/>
    <w:rsid w:val="00507183"/>
    <w:rsid w:val="00507D6F"/>
    <w:rsid w:val="00507F1F"/>
    <w:rsid w:val="005107FD"/>
    <w:rsid w:val="00510980"/>
    <w:rsid w:val="00511B34"/>
    <w:rsid w:val="00512AEC"/>
    <w:rsid w:val="00512D81"/>
    <w:rsid w:val="0051504C"/>
    <w:rsid w:val="005172B1"/>
    <w:rsid w:val="005203AA"/>
    <w:rsid w:val="00520506"/>
    <w:rsid w:val="005206E2"/>
    <w:rsid w:val="00521ADE"/>
    <w:rsid w:val="0052268E"/>
    <w:rsid w:val="0052280A"/>
    <w:rsid w:val="005248D0"/>
    <w:rsid w:val="00524BC3"/>
    <w:rsid w:val="00525B77"/>
    <w:rsid w:val="0053070C"/>
    <w:rsid w:val="005314DF"/>
    <w:rsid w:val="00533105"/>
    <w:rsid w:val="005331B5"/>
    <w:rsid w:val="00534D3B"/>
    <w:rsid w:val="005351B3"/>
    <w:rsid w:val="005400A5"/>
    <w:rsid w:val="005420B4"/>
    <w:rsid w:val="005437B4"/>
    <w:rsid w:val="00543AE7"/>
    <w:rsid w:val="0054471F"/>
    <w:rsid w:val="00544A64"/>
    <w:rsid w:val="0054520B"/>
    <w:rsid w:val="005459F5"/>
    <w:rsid w:val="00545B68"/>
    <w:rsid w:val="00546CB9"/>
    <w:rsid w:val="00546DF7"/>
    <w:rsid w:val="0055121B"/>
    <w:rsid w:val="00551751"/>
    <w:rsid w:val="00552B6E"/>
    <w:rsid w:val="00552E23"/>
    <w:rsid w:val="005545A5"/>
    <w:rsid w:val="00554715"/>
    <w:rsid w:val="00555D64"/>
    <w:rsid w:val="00556D4F"/>
    <w:rsid w:val="00557A71"/>
    <w:rsid w:val="00560AED"/>
    <w:rsid w:val="005615FA"/>
    <w:rsid w:val="0056231D"/>
    <w:rsid w:val="005623DD"/>
    <w:rsid w:val="00563B23"/>
    <w:rsid w:val="00563D01"/>
    <w:rsid w:val="00564009"/>
    <w:rsid w:val="0056452E"/>
    <w:rsid w:val="00565185"/>
    <w:rsid w:val="005654C8"/>
    <w:rsid w:val="005656FB"/>
    <w:rsid w:val="00566995"/>
    <w:rsid w:val="00567010"/>
    <w:rsid w:val="00567482"/>
    <w:rsid w:val="005678EB"/>
    <w:rsid w:val="00570CA6"/>
    <w:rsid w:val="00570F18"/>
    <w:rsid w:val="0057123D"/>
    <w:rsid w:val="0057170D"/>
    <w:rsid w:val="005720AF"/>
    <w:rsid w:val="0057387E"/>
    <w:rsid w:val="00573BFA"/>
    <w:rsid w:val="00573CC7"/>
    <w:rsid w:val="0057495C"/>
    <w:rsid w:val="005758A5"/>
    <w:rsid w:val="0057613C"/>
    <w:rsid w:val="0057636A"/>
    <w:rsid w:val="00576443"/>
    <w:rsid w:val="00577DEC"/>
    <w:rsid w:val="00583941"/>
    <w:rsid w:val="005847DC"/>
    <w:rsid w:val="005850C7"/>
    <w:rsid w:val="005856EF"/>
    <w:rsid w:val="00585CC6"/>
    <w:rsid w:val="0059072E"/>
    <w:rsid w:val="005908A9"/>
    <w:rsid w:val="00590FA2"/>
    <w:rsid w:val="00591893"/>
    <w:rsid w:val="00592351"/>
    <w:rsid w:val="00593457"/>
    <w:rsid w:val="00594851"/>
    <w:rsid w:val="00594C42"/>
    <w:rsid w:val="00594CEF"/>
    <w:rsid w:val="00596841"/>
    <w:rsid w:val="0059684A"/>
    <w:rsid w:val="005A0345"/>
    <w:rsid w:val="005A0903"/>
    <w:rsid w:val="005A1633"/>
    <w:rsid w:val="005A16B9"/>
    <w:rsid w:val="005A2203"/>
    <w:rsid w:val="005A25B7"/>
    <w:rsid w:val="005A26EE"/>
    <w:rsid w:val="005A33F3"/>
    <w:rsid w:val="005A3C0F"/>
    <w:rsid w:val="005A3EC1"/>
    <w:rsid w:val="005A47B7"/>
    <w:rsid w:val="005A5AB1"/>
    <w:rsid w:val="005A658B"/>
    <w:rsid w:val="005B07C4"/>
    <w:rsid w:val="005B19CD"/>
    <w:rsid w:val="005B19D9"/>
    <w:rsid w:val="005B1B79"/>
    <w:rsid w:val="005B24EA"/>
    <w:rsid w:val="005B2594"/>
    <w:rsid w:val="005B2F2A"/>
    <w:rsid w:val="005B33DF"/>
    <w:rsid w:val="005B55C1"/>
    <w:rsid w:val="005B6F85"/>
    <w:rsid w:val="005C00A9"/>
    <w:rsid w:val="005C17ED"/>
    <w:rsid w:val="005C20F7"/>
    <w:rsid w:val="005C22F8"/>
    <w:rsid w:val="005C3120"/>
    <w:rsid w:val="005C35C7"/>
    <w:rsid w:val="005C4078"/>
    <w:rsid w:val="005C45F6"/>
    <w:rsid w:val="005C5039"/>
    <w:rsid w:val="005C5B11"/>
    <w:rsid w:val="005C5B2D"/>
    <w:rsid w:val="005C6A6C"/>
    <w:rsid w:val="005C74D1"/>
    <w:rsid w:val="005C7C7C"/>
    <w:rsid w:val="005C7FC0"/>
    <w:rsid w:val="005D0735"/>
    <w:rsid w:val="005D1C98"/>
    <w:rsid w:val="005D37B5"/>
    <w:rsid w:val="005D3B85"/>
    <w:rsid w:val="005D3F78"/>
    <w:rsid w:val="005D49F1"/>
    <w:rsid w:val="005D4A01"/>
    <w:rsid w:val="005D4A52"/>
    <w:rsid w:val="005D56B3"/>
    <w:rsid w:val="005D5B6F"/>
    <w:rsid w:val="005D6494"/>
    <w:rsid w:val="005D72C2"/>
    <w:rsid w:val="005D7313"/>
    <w:rsid w:val="005D79E1"/>
    <w:rsid w:val="005D7C68"/>
    <w:rsid w:val="005E1A38"/>
    <w:rsid w:val="005E2179"/>
    <w:rsid w:val="005E27A3"/>
    <w:rsid w:val="005E2AA8"/>
    <w:rsid w:val="005E45D5"/>
    <w:rsid w:val="005E616C"/>
    <w:rsid w:val="005E6624"/>
    <w:rsid w:val="005E66A3"/>
    <w:rsid w:val="005F0478"/>
    <w:rsid w:val="005F1230"/>
    <w:rsid w:val="005F1FA6"/>
    <w:rsid w:val="005F34DA"/>
    <w:rsid w:val="005F4989"/>
    <w:rsid w:val="005F54F7"/>
    <w:rsid w:val="00601C76"/>
    <w:rsid w:val="006031EF"/>
    <w:rsid w:val="0060337A"/>
    <w:rsid w:val="006044C8"/>
    <w:rsid w:val="00604C17"/>
    <w:rsid w:val="006058F1"/>
    <w:rsid w:val="006078A6"/>
    <w:rsid w:val="006108D1"/>
    <w:rsid w:val="00611055"/>
    <w:rsid w:val="00611687"/>
    <w:rsid w:val="00612491"/>
    <w:rsid w:val="00613269"/>
    <w:rsid w:val="00614F7E"/>
    <w:rsid w:val="006154B6"/>
    <w:rsid w:val="0061601E"/>
    <w:rsid w:val="0061643A"/>
    <w:rsid w:val="00617053"/>
    <w:rsid w:val="00617E2A"/>
    <w:rsid w:val="00620ECE"/>
    <w:rsid w:val="0062106A"/>
    <w:rsid w:val="0062230F"/>
    <w:rsid w:val="006226CD"/>
    <w:rsid w:val="00622E77"/>
    <w:rsid w:val="00623758"/>
    <w:rsid w:val="0062398C"/>
    <w:rsid w:val="00624AE2"/>
    <w:rsid w:val="00624DDA"/>
    <w:rsid w:val="00627B44"/>
    <w:rsid w:val="00627C23"/>
    <w:rsid w:val="006305EF"/>
    <w:rsid w:val="00631992"/>
    <w:rsid w:val="00631E30"/>
    <w:rsid w:val="00632705"/>
    <w:rsid w:val="00636E32"/>
    <w:rsid w:val="00636E7F"/>
    <w:rsid w:val="00640475"/>
    <w:rsid w:val="006404A9"/>
    <w:rsid w:val="006419BA"/>
    <w:rsid w:val="00641D35"/>
    <w:rsid w:val="00641F34"/>
    <w:rsid w:val="00642018"/>
    <w:rsid w:val="00642A36"/>
    <w:rsid w:val="006437A9"/>
    <w:rsid w:val="00643F9F"/>
    <w:rsid w:val="006440ED"/>
    <w:rsid w:val="00645857"/>
    <w:rsid w:val="006471C4"/>
    <w:rsid w:val="00650A33"/>
    <w:rsid w:val="00652AEE"/>
    <w:rsid w:val="00653433"/>
    <w:rsid w:val="00653727"/>
    <w:rsid w:val="00653C29"/>
    <w:rsid w:val="00654B04"/>
    <w:rsid w:val="0065650A"/>
    <w:rsid w:val="0065660F"/>
    <w:rsid w:val="00656EB3"/>
    <w:rsid w:val="006573B5"/>
    <w:rsid w:val="00657D5A"/>
    <w:rsid w:val="00660480"/>
    <w:rsid w:val="00661276"/>
    <w:rsid w:val="00661FF2"/>
    <w:rsid w:val="00662C87"/>
    <w:rsid w:val="0066345D"/>
    <w:rsid w:val="00664ECE"/>
    <w:rsid w:val="006652A0"/>
    <w:rsid w:val="00666290"/>
    <w:rsid w:val="00670027"/>
    <w:rsid w:val="00671D22"/>
    <w:rsid w:val="00673018"/>
    <w:rsid w:val="00675EB3"/>
    <w:rsid w:val="0067608C"/>
    <w:rsid w:val="00676843"/>
    <w:rsid w:val="00676BD2"/>
    <w:rsid w:val="00677228"/>
    <w:rsid w:val="00680068"/>
    <w:rsid w:val="006801CA"/>
    <w:rsid w:val="00680B56"/>
    <w:rsid w:val="00680C92"/>
    <w:rsid w:val="00680D4C"/>
    <w:rsid w:val="006817AB"/>
    <w:rsid w:val="00682099"/>
    <w:rsid w:val="00682746"/>
    <w:rsid w:val="00683717"/>
    <w:rsid w:val="00684132"/>
    <w:rsid w:val="006844B9"/>
    <w:rsid w:val="00685707"/>
    <w:rsid w:val="00685B75"/>
    <w:rsid w:val="006867CC"/>
    <w:rsid w:val="00686E95"/>
    <w:rsid w:val="00690740"/>
    <w:rsid w:val="00690C50"/>
    <w:rsid w:val="006923A6"/>
    <w:rsid w:val="00692EE8"/>
    <w:rsid w:val="00693595"/>
    <w:rsid w:val="0069454C"/>
    <w:rsid w:val="00694CCF"/>
    <w:rsid w:val="00694D57"/>
    <w:rsid w:val="00694F26"/>
    <w:rsid w:val="0069509B"/>
    <w:rsid w:val="00696362"/>
    <w:rsid w:val="00697902"/>
    <w:rsid w:val="00697F0A"/>
    <w:rsid w:val="006A04AE"/>
    <w:rsid w:val="006A068B"/>
    <w:rsid w:val="006A0E52"/>
    <w:rsid w:val="006A25B4"/>
    <w:rsid w:val="006A30DB"/>
    <w:rsid w:val="006A3949"/>
    <w:rsid w:val="006A45FD"/>
    <w:rsid w:val="006A4A62"/>
    <w:rsid w:val="006A5942"/>
    <w:rsid w:val="006A7552"/>
    <w:rsid w:val="006B01B9"/>
    <w:rsid w:val="006B0439"/>
    <w:rsid w:val="006B0D10"/>
    <w:rsid w:val="006B0EC2"/>
    <w:rsid w:val="006B13D4"/>
    <w:rsid w:val="006B3ABE"/>
    <w:rsid w:val="006B4884"/>
    <w:rsid w:val="006B4A52"/>
    <w:rsid w:val="006B5383"/>
    <w:rsid w:val="006B6A37"/>
    <w:rsid w:val="006B6D68"/>
    <w:rsid w:val="006B6F61"/>
    <w:rsid w:val="006C14E0"/>
    <w:rsid w:val="006C3B12"/>
    <w:rsid w:val="006C44DF"/>
    <w:rsid w:val="006C4633"/>
    <w:rsid w:val="006C4B3C"/>
    <w:rsid w:val="006C5636"/>
    <w:rsid w:val="006C6C67"/>
    <w:rsid w:val="006C7287"/>
    <w:rsid w:val="006C79D3"/>
    <w:rsid w:val="006D06F9"/>
    <w:rsid w:val="006D0805"/>
    <w:rsid w:val="006D0AA8"/>
    <w:rsid w:val="006D2153"/>
    <w:rsid w:val="006D2870"/>
    <w:rsid w:val="006D4517"/>
    <w:rsid w:val="006D5F3A"/>
    <w:rsid w:val="006D6BCD"/>
    <w:rsid w:val="006D7A97"/>
    <w:rsid w:val="006D7AF1"/>
    <w:rsid w:val="006D7B5A"/>
    <w:rsid w:val="006E0925"/>
    <w:rsid w:val="006E1E9E"/>
    <w:rsid w:val="006E21DA"/>
    <w:rsid w:val="006E4279"/>
    <w:rsid w:val="006E4913"/>
    <w:rsid w:val="006E5555"/>
    <w:rsid w:val="006E5A3B"/>
    <w:rsid w:val="006E5B47"/>
    <w:rsid w:val="006E5C5D"/>
    <w:rsid w:val="006E78BA"/>
    <w:rsid w:val="006E7DAC"/>
    <w:rsid w:val="006F01DF"/>
    <w:rsid w:val="006F1295"/>
    <w:rsid w:val="006F15CC"/>
    <w:rsid w:val="006F1CCA"/>
    <w:rsid w:val="006F2C0E"/>
    <w:rsid w:val="006F4F09"/>
    <w:rsid w:val="006F508D"/>
    <w:rsid w:val="006F51CE"/>
    <w:rsid w:val="006F63C0"/>
    <w:rsid w:val="006F640B"/>
    <w:rsid w:val="0070043C"/>
    <w:rsid w:val="007004B5"/>
    <w:rsid w:val="007046FB"/>
    <w:rsid w:val="00704C2C"/>
    <w:rsid w:val="00705A61"/>
    <w:rsid w:val="0070655C"/>
    <w:rsid w:val="00710424"/>
    <w:rsid w:val="007109F6"/>
    <w:rsid w:val="00711F62"/>
    <w:rsid w:val="007133CB"/>
    <w:rsid w:val="00713F83"/>
    <w:rsid w:val="00714ED2"/>
    <w:rsid w:val="00715F45"/>
    <w:rsid w:val="00716604"/>
    <w:rsid w:val="00716A52"/>
    <w:rsid w:val="0071719A"/>
    <w:rsid w:val="0071726D"/>
    <w:rsid w:val="007176A7"/>
    <w:rsid w:val="007178FF"/>
    <w:rsid w:val="007204B4"/>
    <w:rsid w:val="00720781"/>
    <w:rsid w:val="0072091B"/>
    <w:rsid w:val="00722B07"/>
    <w:rsid w:val="00722BC9"/>
    <w:rsid w:val="00723632"/>
    <w:rsid w:val="007238DA"/>
    <w:rsid w:val="00725052"/>
    <w:rsid w:val="00725342"/>
    <w:rsid w:val="0072534D"/>
    <w:rsid w:val="00725C3B"/>
    <w:rsid w:val="00725F39"/>
    <w:rsid w:val="00727027"/>
    <w:rsid w:val="0073000D"/>
    <w:rsid w:val="0073022F"/>
    <w:rsid w:val="00731DF1"/>
    <w:rsid w:val="00731F2B"/>
    <w:rsid w:val="007322EE"/>
    <w:rsid w:val="0073409B"/>
    <w:rsid w:val="00734105"/>
    <w:rsid w:val="00734AFD"/>
    <w:rsid w:val="00735E32"/>
    <w:rsid w:val="00736BEA"/>
    <w:rsid w:val="007375D0"/>
    <w:rsid w:val="00740095"/>
    <w:rsid w:val="0074159C"/>
    <w:rsid w:val="00742862"/>
    <w:rsid w:val="00742FD0"/>
    <w:rsid w:val="007432EF"/>
    <w:rsid w:val="00743FE9"/>
    <w:rsid w:val="0074497D"/>
    <w:rsid w:val="00745DD0"/>
    <w:rsid w:val="00745F44"/>
    <w:rsid w:val="00746455"/>
    <w:rsid w:val="00746F96"/>
    <w:rsid w:val="0074770C"/>
    <w:rsid w:val="00750405"/>
    <w:rsid w:val="007507C1"/>
    <w:rsid w:val="00751546"/>
    <w:rsid w:val="007541CE"/>
    <w:rsid w:val="007545E5"/>
    <w:rsid w:val="00755577"/>
    <w:rsid w:val="00755878"/>
    <w:rsid w:val="00756B91"/>
    <w:rsid w:val="00757E96"/>
    <w:rsid w:val="00760A86"/>
    <w:rsid w:val="00761F5F"/>
    <w:rsid w:val="0076741B"/>
    <w:rsid w:val="00770C0E"/>
    <w:rsid w:val="00771D19"/>
    <w:rsid w:val="0077277F"/>
    <w:rsid w:val="00774584"/>
    <w:rsid w:val="007747BE"/>
    <w:rsid w:val="00781625"/>
    <w:rsid w:val="00781792"/>
    <w:rsid w:val="00781A3A"/>
    <w:rsid w:val="00782512"/>
    <w:rsid w:val="007826B4"/>
    <w:rsid w:val="00783557"/>
    <w:rsid w:val="0078405C"/>
    <w:rsid w:val="00784D8F"/>
    <w:rsid w:val="00785A6D"/>
    <w:rsid w:val="00786B68"/>
    <w:rsid w:val="007874FB"/>
    <w:rsid w:val="007915AD"/>
    <w:rsid w:val="00792CC3"/>
    <w:rsid w:val="00794013"/>
    <w:rsid w:val="007947C6"/>
    <w:rsid w:val="00794CF3"/>
    <w:rsid w:val="00794E4C"/>
    <w:rsid w:val="00795109"/>
    <w:rsid w:val="0079614E"/>
    <w:rsid w:val="007A0160"/>
    <w:rsid w:val="007A027B"/>
    <w:rsid w:val="007A327D"/>
    <w:rsid w:val="007A3937"/>
    <w:rsid w:val="007A40C6"/>
    <w:rsid w:val="007A4B43"/>
    <w:rsid w:val="007A4F20"/>
    <w:rsid w:val="007A67F3"/>
    <w:rsid w:val="007A6AA0"/>
    <w:rsid w:val="007A6B19"/>
    <w:rsid w:val="007B0E88"/>
    <w:rsid w:val="007B3045"/>
    <w:rsid w:val="007B391E"/>
    <w:rsid w:val="007B45EC"/>
    <w:rsid w:val="007B49DF"/>
    <w:rsid w:val="007B4B6D"/>
    <w:rsid w:val="007B5296"/>
    <w:rsid w:val="007B655B"/>
    <w:rsid w:val="007B67AD"/>
    <w:rsid w:val="007B7639"/>
    <w:rsid w:val="007C00BA"/>
    <w:rsid w:val="007C1254"/>
    <w:rsid w:val="007C1606"/>
    <w:rsid w:val="007C18F2"/>
    <w:rsid w:val="007C1AC1"/>
    <w:rsid w:val="007C1FEC"/>
    <w:rsid w:val="007C41F2"/>
    <w:rsid w:val="007C46D1"/>
    <w:rsid w:val="007C5731"/>
    <w:rsid w:val="007C5C1C"/>
    <w:rsid w:val="007C5E71"/>
    <w:rsid w:val="007C730D"/>
    <w:rsid w:val="007C7393"/>
    <w:rsid w:val="007D0C6A"/>
    <w:rsid w:val="007D391B"/>
    <w:rsid w:val="007D3B29"/>
    <w:rsid w:val="007D43E6"/>
    <w:rsid w:val="007D4EC6"/>
    <w:rsid w:val="007D5CD8"/>
    <w:rsid w:val="007D6974"/>
    <w:rsid w:val="007D7780"/>
    <w:rsid w:val="007E0468"/>
    <w:rsid w:val="007E06B8"/>
    <w:rsid w:val="007E0A4B"/>
    <w:rsid w:val="007E326A"/>
    <w:rsid w:val="007E3EDF"/>
    <w:rsid w:val="007E4CDB"/>
    <w:rsid w:val="007E541D"/>
    <w:rsid w:val="007E548B"/>
    <w:rsid w:val="007F0468"/>
    <w:rsid w:val="007F0994"/>
    <w:rsid w:val="007F1028"/>
    <w:rsid w:val="007F12E2"/>
    <w:rsid w:val="007F1637"/>
    <w:rsid w:val="007F1B11"/>
    <w:rsid w:val="007F1FBA"/>
    <w:rsid w:val="007F4488"/>
    <w:rsid w:val="007F4ABD"/>
    <w:rsid w:val="007F4E8F"/>
    <w:rsid w:val="007F694C"/>
    <w:rsid w:val="007F7212"/>
    <w:rsid w:val="007F74CA"/>
    <w:rsid w:val="007F7B5C"/>
    <w:rsid w:val="00800307"/>
    <w:rsid w:val="00800365"/>
    <w:rsid w:val="00800399"/>
    <w:rsid w:val="00800A09"/>
    <w:rsid w:val="008014EC"/>
    <w:rsid w:val="00801F39"/>
    <w:rsid w:val="0080235B"/>
    <w:rsid w:val="0080294E"/>
    <w:rsid w:val="008029BA"/>
    <w:rsid w:val="00804FC7"/>
    <w:rsid w:val="008075EA"/>
    <w:rsid w:val="00807DD1"/>
    <w:rsid w:val="00810C9D"/>
    <w:rsid w:val="008111C3"/>
    <w:rsid w:val="00811213"/>
    <w:rsid w:val="008125BE"/>
    <w:rsid w:val="00812CF5"/>
    <w:rsid w:val="00813471"/>
    <w:rsid w:val="00814198"/>
    <w:rsid w:val="00814390"/>
    <w:rsid w:val="00814679"/>
    <w:rsid w:val="00814849"/>
    <w:rsid w:val="00820EE3"/>
    <w:rsid w:val="00821B02"/>
    <w:rsid w:val="00821F46"/>
    <w:rsid w:val="00822050"/>
    <w:rsid w:val="00822B92"/>
    <w:rsid w:val="00825488"/>
    <w:rsid w:val="00825653"/>
    <w:rsid w:val="00825D4F"/>
    <w:rsid w:val="00827DBA"/>
    <w:rsid w:val="00830D57"/>
    <w:rsid w:val="00832A31"/>
    <w:rsid w:val="008346B1"/>
    <w:rsid w:val="008354A1"/>
    <w:rsid w:val="00835916"/>
    <w:rsid w:val="0083615A"/>
    <w:rsid w:val="0083650C"/>
    <w:rsid w:val="0084045B"/>
    <w:rsid w:val="00841B72"/>
    <w:rsid w:val="0084645A"/>
    <w:rsid w:val="0084658D"/>
    <w:rsid w:val="0084695E"/>
    <w:rsid w:val="0084755C"/>
    <w:rsid w:val="00850166"/>
    <w:rsid w:val="00850650"/>
    <w:rsid w:val="00850E5D"/>
    <w:rsid w:val="00851E91"/>
    <w:rsid w:val="008524C4"/>
    <w:rsid w:val="0085268C"/>
    <w:rsid w:val="00854ABD"/>
    <w:rsid w:val="00856ED6"/>
    <w:rsid w:val="00857614"/>
    <w:rsid w:val="008605F9"/>
    <w:rsid w:val="00861070"/>
    <w:rsid w:val="0086275F"/>
    <w:rsid w:val="00862CAD"/>
    <w:rsid w:val="00864A50"/>
    <w:rsid w:val="00865C11"/>
    <w:rsid w:val="00866290"/>
    <w:rsid w:val="00866978"/>
    <w:rsid w:val="00866CD7"/>
    <w:rsid w:val="00866D9F"/>
    <w:rsid w:val="00867245"/>
    <w:rsid w:val="00871D3C"/>
    <w:rsid w:val="00872129"/>
    <w:rsid w:val="00872D1B"/>
    <w:rsid w:val="00872DC6"/>
    <w:rsid w:val="008730BC"/>
    <w:rsid w:val="00873ABC"/>
    <w:rsid w:val="0087451E"/>
    <w:rsid w:val="00874D66"/>
    <w:rsid w:val="0087590B"/>
    <w:rsid w:val="00876AD9"/>
    <w:rsid w:val="00876BDD"/>
    <w:rsid w:val="00877A7A"/>
    <w:rsid w:val="00877D54"/>
    <w:rsid w:val="00880394"/>
    <w:rsid w:val="0088208A"/>
    <w:rsid w:val="00882EAC"/>
    <w:rsid w:val="0088306B"/>
    <w:rsid w:val="00883B41"/>
    <w:rsid w:val="008843A6"/>
    <w:rsid w:val="008874FC"/>
    <w:rsid w:val="0088798F"/>
    <w:rsid w:val="00890B69"/>
    <w:rsid w:val="0089248A"/>
    <w:rsid w:val="008933DC"/>
    <w:rsid w:val="008936B3"/>
    <w:rsid w:val="00893807"/>
    <w:rsid w:val="00893890"/>
    <w:rsid w:val="00894515"/>
    <w:rsid w:val="008957E4"/>
    <w:rsid w:val="008958D8"/>
    <w:rsid w:val="00896489"/>
    <w:rsid w:val="00896FD1"/>
    <w:rsid w:val="008976A7"/>
    <w:rsid w:val="008A0E63"/>
    <w:rsid w:val="008A114F"/>
    <w:rsid w:val="008A2257"/>
    <w:rsid w:val="008A2C50"/>
    <w:rsid w:val="008A33CE"/>
    <w:rsid w:val="008A3903"/>
    <w:rsid w:val="008B0362"/>
    <w:rsid w:val="008B1F88"/>
    <w:rsid w:val="008B2644"/>
    <w:rsid w:val="008B298E"/>
    <w:rsid w:val="008B2B89"/>
    <w:rsid w:val="008B31AB"/>
    <w:rsid w:val="008B31D3"/>
    <w:rsid w:val="008B3213"/>
    <w:rsid w:val="008B333F"/>
    <w:rsid w:val="008B383F"/>
    <w:rsid w:val="008B38AD"/>
    <w:rsid w:val="008B3FBF"/>
    <w:rsid w:val="008B44DA"/>
    <w:rsid w:val="008B4A06"/>
    <w:rsid w:val="008B4CBC"/>
    <w:rsid w:val="008B5C9A"/>
    <w:rsid w:val="008B5CEA"/>
    <w:rsid w:val="008B694C"/>
    <w:rsid w:val="008C00E7"/>
    <w:rsid w:val="008C0F42"/>
    <w:rsid w:val="008C1149"/>
    <w:rsid w:val="008C168A"/>
    <w:rsid w:val="008C1EF2"/>
    <w:rsid w:val="008C2F43"/>
    <w:rsid w:val="008C38EB"/>
    <w:rsid w:val="008C3B68"/>
    <w:rsid w:val="008C5253"/>
    <w:rsid w:val="008C5686"/>
    <w:rsid w:val="008C65AC"/>
    <w:rsid w:val="008C6BFB"/>
    <w:rsid w:val="008C6D1F"/>
    <w:rsid w:val="008C7321"/>
    <w:rsid w:val="008C74DA"/>
    <w:rsid w:val="008C7C59"/>
    <w:rsid w:val="008D094A"/>
    <w:rsid w:val="008D132A"/>
    <w:rsid w:val="008D1E99"/>
    <w:rsid w:val="008D2B6E"/>
    <w:rsid w:val="008D394A"/>
    <w:rsid w:val="008D6465"/>
    <w:rsid w:val="008E150C"/>
    <w:rsid w:val="008E1EFC"/>
    <w:rsid w:val="008E4F5C"/>
    <w:rsid w:val="008E58BF"/>
    <w:rsid w:val="008F0512"/>
    <w:rsid w:val="008F19A4"/>
    <w:rsid w:val="008F1A81"/>
    <w:rsid w:val="008F2125"/>
    <w:rsid w:val="008F3B73"/>
    <w:rsid w:val="008F7D0D"/>
    <w:rsid w:val="00900CE5"/>
    <w:rsid w:val="00901E9B"/>
    <w:rsid w:val="00902C6A"/>
    <w:rsid w:val="0090415F"/>
    <w:rsid w:val="00904CA9"/>
    <w:rsid w:val="00905911"/>
    <w:rsid w:val="00906090"/>
    <w:rsid w:val="00906476"/>
    <w:rsid w:val="00906A9A"/>
    <w:rsid w:val="00907061"/>
    <w:rsid w:val="00907834"/>
    <w:rsid w:val="0090788B"/>
    <w:rsid w:val="009079B2"/>
    <w:rsid w:val="00907A5D"/>
    <w:rsid w:val="009118A0"/>
    <w:rsid w:val="00911C28"/>
    <w:rsid w:val="00913D48"/>
    <w:rsid w:val="00913D96"/>
    <w:rsid w:val="009145F6"/>
    <w:rsid w:val="00917246"/>
    <w:rsid w:val="00917547"/>
    <w:rsid w:val="0091759A"/>
    <w:rsid w:val="00917E1A"/>
    <w:rsid w:val="00920540"/>
    <w:rsid w:val="00920F36"/>
    <w:rsid w:val="00922697"/>
    <w:rsid w:val="00922F8C"/>
    <w:rsid w:val="0092325A"/>
    <w:rsid w:val="00924BD8"/>
    <w:rsid w:val="009262FA"/>
    <w:rsid w:val="0092657B"/>
    <w:rsid w:val="00927A82"/>
    <w:rsid w:val="009314DA"/>
    <w:rsid w:val="00931700"/>
    <w:rsid w:val="00933951"/>
    <w:rsid w:val="00935B43"/>
    <w:rsid w:val="009364E2"/>
    <w:rsid w:val="009371D6"/>
    <w:rsid w:val="00937BFF"/>
    <w:rsid w:val="009400A1"/>
    <w:rsid w:val="009410FA"/>
    <w:rsid w:val="00941614"/>
    <w:rsid w:val="009430F7"/>
    <w:rsid w:val="00945D30"/>
    <w:rsid w:val="00946916"/>
    <w:rsid w:val="00947045"/>
    <w:rsid w:val="009475A6"/>
    <w:rsid w:val="0094793F"/>
    <w:rsid w:val="00950842"/>
    <w:rsid w:val="00950C28"/>
    <w:rsid w:val="00951993"/>
    <w:rsid w:val="0095216E"/>
    <w:rsid w:val="00952D7A"/>
    <w:rsid w:val="00953E57"/>
    <w:rsid w:val="00954170"/>
    <w:rsid w:val="0095420F"/>
    <w:rsid w:val="00954CC0"/>
    <w:rsid w:val="00954CC5"/>
    <w:rsid w:val="00955BB4"/>
    <w:rsid w:val="00955C25"/>
    <w:rsid w:val="00956BB5"/>
    <w:rsid w:val="009572E5"/>
    <w:rsid w:val="00957676"/>
    <w:rsid w:val="009617E7"/>
    <w:rsid w:val="009621B2"/>
    <w:rsid w:val="00963A1A"/>
    <w:rsid w:val="00963E1E"/>
    <w:rsid w:val="00964590"/>
    <w:rsid w:val="009653DC"/>
    <w:rsid w:val="0096654A"/>
    <w:rsid w:val="009677E3"/>
    <w:rsid w:val="00971187"/>
    <w:rsid w:val="00971196"/>
    <w:rsid w:val="009727AA"/>
    <w:rsid w:val="00973755"/>
    <w:rsid w:val="00976040"/>
    <w:rsid w:val="0097729B"/>
    <w:rsid w:val="00980736"/>
    <w:rsid w:val="009807A1"/>
    <w:rsid w:val="00981704"/>
    <w:rsid w:val="0098175A"/>
    <w:rsid w:val="0098182C"/>
    <w:rsid w:val="00981D80"/>
    <w:rsid w:val="00983F39"/>
    <w:rsid w:val="00984390"/>
    <w:rsid w:val="00985839"/>
    <w:rsid w:val="0099125B"/>
    <w:rsid w:val="00992952"/>
    <w:rsid w:val="00992D61"/>
    <w:rsid w:val="00995929"/>
    <w:rsid w:val="00995C91"/>
    <w:rsid w:val="00995EE7"/>
    <w:rsid w:val="00996652"/>
    <w:rsid w:val="00996BF1"/>
    <w:rsid w:val="00997009"/>
    <w:rsid w:val="0099745E"/>
    <w:rsid w:val="009A03A3"/>
    <w:rsid w:val="009A2ACF"/>
    <w:rsid w:val="009A306E"/>
    <w:rsid w:val="009A481E"/>
    <w:rsid w:val="009A5D1F"/>
    <w:rsid w:val="009B0257"/>
    <w:rsid w:val="009B03BC"/>
    <w:rsid w:val="009B06F1"/>
    <w:rsid w:val="009B3397"/>
    <w:rsid w:val="009B34F2"/>
    <w:rsid w:val="009B3C36"/>
    <w:rsid w:val="009B51E3"/>
    <w:rsid w:val="009B5654"/>
    <w:rsid w:val="009B5EC1"/>
    <w:rsid w:val="009B7220"/>
    <w:rsid w:val="009B76CB"/>
    <w:rsid w:val="009B7D6C"/>
    <w:rsid w:val="009C04EB"/>
    <w:rsid w:val="009C1AD6"/>
    <w:rsid w:val="009C28E1"/>
    <w:rsid w:val="009C2915"/>
    <w:rsid w:val="009C2E55"/>
    <w:rsid w:val="009C3D06"/>
    <w:rsid w:val="009C3DB4"/>
    <w:rsid w:val="009C3F13"/>
    <w:rsid w:val="009C43FC"/>
    <w:rsid w:val="009C5A80"/>
    <w:rsid w:val="009C5F03"/>
    <w:rsid w:val="009C7C8F"/>
    <w:rsid w:val="009D0450"/>
    <w:rsid w:val="009D1594"/>
    <w:rsid w:val="009D1FBA"/>
    <w:rsid w:val="009D330F"/>
    <w:rsid w:val="009D332F"/>
    <w:rsid w:val="009D388B"/>
    <w:rsid w:val="009D580B"/>
    <w:rsid w:val="009D6294"/>
    <w:rsid w:val="009D7B82"/>
    <w:rsid w:val="009E024C"/>
    <w:rsid w:val="009E05B6"/>
    <w:rsid w:val="009E590F"/>
    <w:rsid w:val="009E6ACF"/>
    <w:rsid w:val="009F0C32"/>
    <w:rsid w:val="009F1649"/>
    <w:rsid w:val="009F26BC"/>
    <w:rsid w:val="009F461F"/>
    <w:rsid w:val="00A006D3"/>
    <w:rsid w:val="00A01305"/>
    <w:rsid w:val="00A01EEF"/>
    <w:rsid w:val="00A0259C"/>
    <w:rsid w:val="00A036CB"/>
    <w:rsid w:val="00A0546A"/>
    <w:rsid w:val="00A05EC0"/>
    <w:rsid w:val="00A061CA"/>
    <w:rsid w:val="00A06AAA"/>
    <w:rsid w:val="00A07A49"/>
    <w:rsid w:val="00A10E38"/>
    <w:rsid w:val="00A11502"/>
    <w:rsid w:val="00A12ECE"/>
    <w:rsid w:val="00A135B3"/>
    <w:rsid w:val="00A1434D"/>
    <w:rsid w:val="00A14953"/>
    <w:rsid w:val="00A167B9"/>
    <w:rsid w:val="00A16CDB"/>
    <w:rsid w:val="00A176A1"/>
    <w:rsid w:val="00A17DB5"/>
    <w:rsid w:val="00A20A09"/>
    <w:rsid w:val="00A20C64"/>
    <w:rsid w:val="00A224C0"/>
    <w:rsid w:val="00A22A14"/>
    <w:rsid w:val="00A23526"/>
    <w:rsid w:val="00A27149"/>
    <w:rsid w:val="00A2793B"/>
    <w:rsid w:val="00A30105"/>
    <w:rsid w:val="00A31ADE"/>
    <w:rsid w:val="00A31FA7"/>
    <w:rsid w:val="00A348D2"/>
    <w:rsid w:val="00A35D3C"/>
    <w:rsid w:val="00A3616F"/>
    <w:rsid w:val="00A377FE"/>
    <w:rsid w:val="00A40E0E"/>
    <w:rsid w:val="00A41C95"/>
    <w:rsid w:val="00A42739"/>
    <w:rsid w:val="00A43393"/>
    <w:rsid w:val="00A43649"/>
    <w:rsid w:val="00A442F1"/>
    <w:rsid w:val="00A46ABD"/>
    <w:rsid w:val="00A46C18"/>
    <w:rsid w:val="00A470CE"/>
    <w:rsid w:val="00A47F1E"/>
    <w:rsid w:val="00A50344"/>
    <w:rsid w:val="00A503E9"/>
    <w:rsid w:val="00A50E65"/>
    <w:rsid w:val="00A52058"/>
    <w:rsid w:val="00A52E2E"/>
    <w:rsid w:val="00A52F63"/>
    <w:rsid w:val="00A55536"/>
    <w:rsid w:val="00A5613C"/>
    <w:rsid w:val="00A56CA0"/>
    <w:rsid w:val="00A570EE"/>
    <w:rsid w:val="00A57C48"/>
    <w:rsid w:val="00A57EB2"/>
    <w:rsid w:val="00A608F5"/>
    <w:rsid w:val="00A62463"/>
    <w:rsid w:val="00A6391E"/>
    <w:rsid w:val="00A63C0B"/>
    <w:rsid w:val="00A649D3"/>
    <w:rsid w:val="00A656FD"/>
    <w:rsid w:val="00A6645C"/>
    <w:rsid w:val="00A66A68"/>
    <w:rsid w:val="00A67837"/>
    <w:rsid w:val="00A70423"/>
    <w:rsid w:val="00A70863"/>
    <w:rsid w:val="00A721B8"/>
    <w:rsid w:val="00A727FC"/>
    <w:rsid w:val="00A72E35"/>
    <w:rsid w:val="00A7300A"/>
    <w:rsid w:val="00A7414F"/>
    <w:rsid w:val="00A758CB"/>
    <w:rsid w:val="00A7627C"/>
    <w:rsid w:val="00A81405"/>
    <w:rsid w:val="00A82114"/>
    <w:rsid w:val="00A82FF0"/>
    <w:rsid w:val="00A83207"/>
    <w:rsid w:val="00A83BED"/>
    <w:rsid w:val="00A8488F"/>
    <w:rsid w:val="00A85DA3"/>
    <w:rsid w:val="00A86BC6"/>
    <w:rsid w:val="00A87D4F"/>
    <w:rsid w:val="00A92670"/>
    <w:rsid w:val="00A92FDC"/>
    <w:rsid w:val="00A96434"/>
    <w:rsid w:val="00A96AAF"/>
    <w:rsid w:val="00A979BC"/>
    <w:rsid w:val="00A97F60"/>
    <w:rsid w:val="00AA03B1"/>
    <w:rsid w:val="00AA2944"/>
    <w:rsid w:val="00AA2A82"/>
    <w:rsid w:val="00AA3179"/>
    <w:rsid w:val="00AB0B41"/>
    <w:rsid w:val="00AB140A"/>
    <w:rsid w:val="00AB1635"/>
    <w:rsid w:val="00AB297D"/>
    <w:rsid w:val="00AB759C"/>
    <w:rsid w:val="00AB7830"/>
    <w:rsid w:val="00AC031E"/>
    <w:rsid w:val="00AC31F2"/>
    <w:rsid w:val="00AC3268"/>
    <w:rsid w:val="00AC35C4"/>
    <w:rsid w:val="00AC3DCF"/>
    <w:rsid w:val="00AC4154"/>
    <w:rsid w:val="00AC587E"/>
    <w:rsid w:val="00AD0413"/>
    <w:rsid w:val="00AD1058"/>
    <w:rsid w:val="00AD18B4"/>
    <w:rsid w:val="00AD4FB0"/>
    <w:rsid w:val="00AD7F13"/>
    <w:rsid w:val="00AE04A8"/>
    <w:rsid w:val="00AE117D"/>
    <w:rsid w:val="00AE1842"/>
    <w:rsid w:val="00AE1843"/>
    <w:rsid w:val="00AE1EEC"/>
    <w:rsid w:val="00AE23F9"/>
    <w:rsid w:val="00AE2430"/>
    <w:rsid w:val="00AE4000"/>
    <w:rsid w:val="00AE52CE"/>
    <w:rsid w:val="00AE5452"/>
    <w:rsid w:val="00AE5EF5"/>
    <w:rsid w:val="00AE6188"/>
    <w:rsid w:val="00AE7AF0"/>
    <w:rsid w:val="00AF03DC"/>
    <w:rsid w:val="00AF258A"/>
    <w:rsid w:val="00AF4AE5"/>
    <w:rsid w:val="00AF5783"/>
    <w:rsid w:val="00AF5D1E"/>
    <w:rsid w:val="00AF6D11"/>
    <w:rsid w:val="00AF76C6"/>
    <w:rsid w:val="00B0165E"/>
    <w:rsid w:val="00B01B17"/>
    <w:rsid w:val="00B04103"/>
    <w:rsid w:val="00B047E9"/>
    <w:rsid w:val="00B050FB"/>
    <w:rsid w:val="00B05867"/>
    <w:rsid w:val="00B07A1A"/>
    <w:rsid w:val="00B07BDD"/>
    <w:rsid w:val="00B10EC0"/>
    <w:rsid w:val="00B123FF"/>
    <w:rsid w:val="00B134B6"/>
    <w:rsid w:val="00B142F4"/>
    <w:rsid w:val="00B14448"/>
    <w:rsid w:val="00B16061"/>
    <w:rsid w:val="00B1645D"/>
    <w:rsid w:val="00B16CC2"/>
    <w:rsid w:val="00B17989"/>
    <w:rsid w:val="00B17C66"/>
    <w:rsid w:val="00B17DAF"/>
    <w:rsid w:val="00B17E1E"/>
    <w:rsid w:val="00B213A5"/>
    <w:rsid w:val="00B21C56"/>
    <w:rsid w:val="00B24AE7"/>
    <w:rsid w:val="00B25103"/>
    <w:rsid w:val="00B267A7"/>
    <w:rsid w:val="00B27A8F"/>
    <w:rsid w:val="00B27B2E"/>
    <w:rsid w:val="00B27CF4"/>
    <w:rsid w:val="00B31421"/>
    <w:rsid w:val="00B31D2B"/>
    <w:rsid w:val="00B31E2C"/>
    <w:rsid w:val="00B32E44"/>
    <w:rsid w:val="00B336AA"/>
    <w:rsid w:val="00B34173"/>
    <w:rsid w:val="00B34B98"/>
    <w:rsid w:val="00B3571B"/>
    <w:rsid w:val="00B362ED"/>
    <w:rsid w:val="00B36952"/>
    <w:rsid w:val="00B375B6"/>
    <w:rsid w:val="00B40432"/>
    <w:rsid w:val="00B410C1"/>
    <w:rsid w:val="00B41218"/>
    <w:rsid w:val="00B4166B"/>
    <w:rsid w:val="00B418ED"/>
    <w:rsid w:val="00B42554"/>
    <w:rsid w:val="00B42703"/>
    <w:rsid w:val="00B433FC"/>
    <w:rsid w:val="00B43502"/>
    <w:rsid w:val="00B4391E"/>
    <w:rsid w:val="00B43ED0"/>
    <w:rsid w:val="00B45081"/>
    <w:rsid w:val="00B4549F"/>
    <w:rsid w:val="00B46290"/>
    <w:rsid w:val="00B46384"/>
    <w:rsid w:val="00B46FA7"/>
    <w:rsid w:val="00B503D0"/>
    <w:rsid w:val="00B513B4"/>
    <w:rsid w:val="00B514DC"/>
    <w:rsid w:val="00B522AA"/>
    <w:rsid w:val="00B56E38"/>
    <w:rsid w:val="00B60A84"/>
    <w:rsid w:val="00B60AED"/>
    <w:rsid w:val="00B60B0D"/>
    <w:rsid w:val="00B610DD"/>
    <w:rsid w:val="00B61D65"/>
    <w:rsid w:val="00B627D5"/>
    <w:rsid w:val="00B62948"/>
    <w:rsid w:val="00B62AB3"/>
    <w:rsid w:val="00B63B5B"/>
    <w:rsid w:val="00B64AD4"/>
    <w:rsid w:val="00B64E8C"/>
    <w:rsid w:val="00B64E9D"/>
    <w:rsid w:val="00B6579A"/>
    <w:rsid w:val="00B65CCC"/>
    <w:rsid w:val="00B678D4"/>
    <w:rsid w:val="00B708E8"/>
    <w:rsid w:val="00B711F9"/>
    <w:rsid w:val="00B734FD"/>
    <w:rsid w:val="00B738CA"/>
    <w:rsid w:val="00B7404A"/>
    <w:rsid w:val="00B75AC6"/>
    <w:rsid w:val="00B773C5"/>
    <w:rsid w:val="00B77651"/>
    <w:rsid w:val="00B8144B"/>
    <w:rsid w:val="00B81F91"/>
    <w:rsid w:val="00B839BA"/>
    <w:rsid w:val="00B8685C"/>
    <w:rsid w:val="00B86A2D"/>
    <w:rsid w:val="00B86C35"/>
    <w:rsid w:val="00B86DD8"/>
    <w:rsid w:val="00B87C14"/>
    <w:rsid w:val="00B92703"/>
    <w:rsid w:val="00B92955"/>
    <w:rsid w:val="00B93072"/>
    <w:rsid w:val="00B94EFB"/>
    <w:rsid w:val="00B9564E"/>
    <w:rsid w:val="00B96525"/>
    <w:rsid w:val="00B974AE"/>
    <w:rsid w:val="00B97C18"/>
    <w:rsid w:val="00B97D50"/>
    <w:rsid w:val="00B97EC1"/>
    <w:rsid w:val="00BA1692"/>
    <w:rsid w:val="00BA1BBA"/>
    <w:rsid w:val="00BA2267"/>
    <w:rsid w:val="00BA2E58"/>
    <w:rsid w:val="00BA3548"/>
    <w:rsid w:val="00BA3C49"/>
    <w:rsid w:val="00BA5315"/>
    <w:rsid w:val="00BA54F1"/>
    <w:rsid w:val="00BA7A87"/>
    <w:rsid w:val="00BA7A99"/>
    <w:rsid w:val="00BA7C33"/>
    <w:rsid w:val="00BB07FC"/>
    <w:rsid w:val="00BB0B67"/>
    <w:rsid w:val="00BB144E"/>
    <w:rsid w:val="00BB2970"/>
    <w:rsid w:val="00BC0139"/>
    <w:rsid w:val="00BC34F6"/>
    <w:rsid w:val="00BC4494"/>
    <w:rsid w:val="00BC4EF0"/>
    <w:rsid w:val="00BC6E99"/>
    <w:rsid w:val="00BC7C00"/>
    <w:rsid w:val="00BD0CA7"/>
    <w:rsid w:val="00BD1EFB"/>
    <w:rsid w:val="00BD223A"/>
    <w:rsid w:val="00BD2B9E"/>
    <w:rsid w:val="00BD57C8"/>
    <w:rsid w:val="00BD5879"/>
    <w:rsid w:val="00BD5A0C"/>
    <w:rsid w:val="00BD5A45"/>
    <w:rsid w:val="00BD5B58"/>
    <w:rsid w:val="00BD6DE1"/>
    <w:rsid w:val="00BD73F1"/>
    <w:rsid w:val="00BE0E15"/>
    <w:rsid w:val="00BE1EEA"/>
    <w:rsid w:val="00BE2683"/>
    <w:rsid w:val="00BE3711"/>
    <w:rsid w:val="00BE3D8C"/>
    <w:rsid w:val="00BE4D14"/>
    <w:rsid w:val="00BE5CF2"/>
    <w:rsid w:val="00BE72E5"/>
    <w:rsid w:val="00BF067E"/>
    <w:rsid w:val="00BF22E7"/>
    <w:rsid w:val="00BF2883"/>
    <w:rsid w:val="00BF63CC"/>
    <w:rsid w:val="00BF6A00"/>
    <w:rsid w:val="00BF6FA9"/>
    <w:rsid w:val="00BF7497"/>
    <w:rsid w:val="00BF7C90"/>
    <w:rsid w:val="00C00003"/>
    <w:rsid w:val="00C000AC"/>
    <w:rsid w:val="00C00429"/>
    <w:rsid w:val="00C00EEE"/>
    <w:rsid w:val="00C02033"/>
    <w:rsid w:val="00C05FD9"/>
    <w:rsid w:val="00C06BBC"/>
    <w:rsid w:val="00C06C54"/>
    <w:rsid w:val="00C07703"/>
    <w:rsid w:val="00C07949"/>
    <w:rsid w:val="00C105ED"/>
    <w:rsid w:val="00C109F0"/>
    <w:rsid w:val="00C11211"/>
    <w:rsid w:val="00C11925"/>
    <w:rsid w:val="00C120C1"/>
    <w:rsid w:val="00C129D7"/>
    <w:rsid w:val="00C12B50"/>
    <w:rsid w:val="00C13AC2"/>
    <w:rsid w:val="00C13E18"/>
    <w:rsid w:val="00C16BE6"/>
    <w:rsid w:val="00C20BEA"/>
    <w:rsid w:val="00C21E38"/>
    <w:rsid w:val="00C21FA2"/>
    <w:rsid w:val="00C241D4"/>
    <w:rsid w:val="00C2433C"/>
    <w:rsid w:val="00C24C84"/>
    <w:rsid w:val="00C24D43"/>
    <w:rsid w:val="00C24F5B"/>
    <w:rsid w:val="00C250E8"/>
    <w:rsid w:val="00C26014"/>
    <w:rsid w:val="00C2620B"/>
    <w:rsid w:val="00C264F8"/>
    <w:rsid w:val="00C27BA5"/>
    <w:rsid w:val="00C27D23"/>
    <w:rsid w:val="00C31313"/>
    <w:rsid w:val="00C320B6"/>
    <w:rsid w:val="00C32874"/>
    <w:rsid w:val="00C33813"/>
    <w:rsid w:val="00C33E7B"/>
    <w:rsid w:val="00C37286"/>
    <w:rsid w:val="00C405D9"/>
    <w:rsid w:val="00C41668"/>
    <w:rsid w:val="00C4206E"/>
    <w:rsid w:val="00C431FA"/>
    <w:rsid w:val="00C43488"/>
    <w:rsid w:val="00C44F7A"/>
    <w:rsid w:val="00C452D9"/>
    <w:rsid w:val="00C45666"/>
    <w:rsid w:val="00C47754"/>
    <w:rsid w:val="00C47D30"/>
    <w:rsid w:val="00C500E2"/>
    <w:rsid w:val="00C5024B"/>
    <w:rsid w:val="00C508DF"/>
    <w:rsid w:val="00C515AA"/>
    <w:rsid w:val="00C52C5B"/>
    <w:rsid w:val="00C533BD"/>
    <w:rsid w:val="00C53E56"/>
    <w:rsid w:val="00C54452"/>
    <w:rsid w:val="00C557BA"/>
    <w:rsid w:val="00C56774"/>
    <w:rsid w:val="00C5681E"/>
    <w:rsid w:val="00C5784C"/>
    <w:rsid w:val="00C600E8"/>
    <w:rsid w:val="00C62ECF"/>
    <w:rsid w:val="00C64618"/>
    <w:rsid w:val="00C66C40"/>
    <w:rsid w:val="00C67B70"/>
    <w:rsid w:val="00C70D0F"/>
    <w:rsid w:val="00C7219E"/>
    <w:rsid w:val="00C72DAA"/>
    <w:rsid w:val="00C745D1"/>
    <w:rsid w:val="00C74726"/>
    <w:rsid w:val="00C7546F"/>
    <w:rsid w:val="00C7758D"/>
    <w:rsid w:val="00C77777"/>
    <w:rsid w:val="00C81555"/>
    <w:rsid w:val="00C82B5D"/>
    <w:rsid w:val="00C8318D"/>
    <w:rsid w:val="00C83387"/>
    <w:rsid w:val="00C8367E"/>
    <w:rsid w:val="00C83AA5"/>
    <w:rsid w:val="00C83C98"/>
    <w:rsid w:val="00C84986"/>
    <w:rsid w:val="00C8761B"/>
    <w:rsid w:val="00C8762A"/>
    <w:rsid w:val="00C90A9F"/>
    <w:rsid w:val="00C913FF"/>
    <w:rsid w:val="00C941AD"/>
    <w:rsid w:val="00C9639A"/>
    <w:rsid w:val="00C977A3"/>
    <w:rsid w:val="00C97DC8"/>
    <w:rsid w:val="00CA0153"/>
    <w:rsid w:val="00CA04A9"/>
    <w:rsid w:val="00CA401C"/>
    <w:rsid w:val="00CA424D"/>
    <w:rsid w:val="00CA4CBC"/>
    <w:rsid w:val="00CA5BF5"/>
    <w:rsid w:val="00CA6175"/>
    <w:rsid w:val="00CA6DB5"/>
    <w:rsid w:val="00CA74D2"/>
    <w:rsid w:val="00CA77AC"/>
    <w:rsid w:val="00CA7C5D"/>
    <w:rsid w:val="00CB0514"/>
    <w:rsid w:val="00CB089A"/>
    <w:rsid w:val="00CB0974"/>
    <w:rsid w:val="00CB4525"/>
    <w:rsid w:val="00CB4FB7"/>
    <w:rsid w:val="00CB5434"/>
    <w:rsid w:val="00CB5719"/>
    <w:rsid w:val="00CB596E"/>
    <w:rsid w:val="00CB6DEB"/>
    <w:rsid w:val="00CB72AF"/>
    <w:rsid w:val="00CB7359"/>
    <w:rsid w:val="00CB7989"/>
    <w:rsid w:val="00CC0133"/>
    <w:rsid w:val="00CC0B13"/>
    <w:rsid w:val="00CC0BE0"/>
    <w:rsid w:val="00CC18C3"/>
    <w:rsid w:val="00CC4530"/>
    <w:rsid w:val="00CC56BB"/>
    <w:rsid w:val="00CC63DD"/>
    <w:rsid w:val="00CC6CA7"/>
    <w:rsid w:val="00CD18B1"/>
    <w:rsid w:val="00CD1D5F"/>
    <w:rsid w:val="00CD28D1"/>
    <w:rsid w:val="00CD29B7"/>
    <w:rsid w:val="00CD30D0"/>
    <w:rsid w:val="00CD54A9"/>
    <w:rsid w:val="00CE124A"/>
    <w:rsid w:val="00CE2A97"/>
    <w:rsid w:val="00CE370A"/>
    <w:rsid w:val="00CE45DD"/>
    <w:rsid w:val="00CE4D2A"/>
    <w:rsid w:val="00CF0155"/>
    <w:rsid w:val="00CF15DB"/>
    <w:rsid w:val="00CF1B8E"/>
    <w:rsid w:val="00CF2C23"/>
    <w:rsid w:val="00CF2EC3"/>
    <w:rsid w:val="00CF3927"/>
    <w:rsid w:val="00CF39E9"/>
    <w:rsid w:val="00CF3BCD"/>
    <w:rsid w:val="00CF44B0"/>
    <w:rsid w:val="00CF4C62"/>
    <w:rsid w:val="00CF4DED"/>
    <w:rsid w:val="00CF79CE"/>
    <w:rsid w:val="00D00B5B"/>
    <w:rsid w:val="00D0206C"/>
    <w:rsid w:val="00D0502F"/>
    <w:rsid w:val="00D0697C"/>
    <w:rsid w:val="00D06A84"/>
    <w:rsid w:val="00D07F62"/>
    <w:rsid w:val="00D10B90"/>
    <w:rsid w:val="00D113F1"/>
    <w:rsid w:val="00D118DA"/>
    <w:rsid w:val="00D12387"/>
    <w:rsid w:val="00D12577"/>
    <w:rsid w:val="00D13663"/>
    <w:rsid w:val="00D13E3F"/>
    <w:rsid w:val="00D149A1"/>
    <w:rsid w:val="00D14F2A"/>
    <w:rsid w:val="00D153AC"/>
    <w:rsid w:val="00D17284"/>
    <w:rsid w:val="00D17B15"/>
    <w:rsid w:val="00D20058"/>
    <w:rsid w:val="00D20884"/>
    <w:rsid w:val="00D20D3E"/>
    <w:rsid w:val="00D22687"/>
    <w:rsid w:val="00D24EDB"/>
    <w:rsid w:val="00D251BB"/>
    <w:rsid w:val="00D256D4"/>
    <w:rsid w:val="00D25C07"/>
    <w:rsid w:val="00D260E2"/>
    <w:rsid w:val="00D26951"/>
    <w:rsid w:val="00D2779E"/>
    <w:rsid w:val="00D27FD3"/>
    <w:rsid w:val="00D325C8"/>
    <w:rsid w:val="00D32759"/>
    <w:rsid w:val="00D340A4"/>
    <w:rsid w:val="00D340CA"/>
    <w:rsid w:val="00D34291"/>
    <w:rsid w:val="00D404D5"/>
    <w:rsid w:val="00D40A73"/>
    <w:rsid w:val="00D40EA0"/>
    <w:rsid w:val="00D41193"/>
    <w:rsid w:val="00D4162D"/>
    <w:rsid w:val="00D4240E"/>
    <w:rsid w:val="00D42F1B"/>
    <w:rsid w:val="00D4392D"/>
    <w:rsid w:val="00D4472D"/>
    <w:rsid w:val="00D45F62"/>
    <w:rsid w:val="00D46793"/>
    <w:rsid w:val="00D5110F"/>
    <w:rsid w:val="00D513E0"/>
    <w:rsid w:val="00D5168F"/>
    <w:rsid w:val="00D524BC"/>
    <w:rsid w:val="00D5353F"/>
    <w:rsid w:val="00D541BE"/>
    <w:rsid w:val="00D546FB"/>
    <w:rsid w:val="00D54CB0"/>
    <w:rsid w:val="00D550D9"/>
    <w:rsid w:val="00D60AD8"/>
    <w:rsid w:val="00D6135D"/>
    <w:rsid w:val="00D61844"/>
    <w:rsid w:val="00D61AA5"/>
    <w:rsid w:val="00D652FC"/>
    <w:rsid w:val="00D6733D"/>
    <w:rsid w:val="00D71699"/>
    <w:rsid w:val="00D72B69"/>
    <w:rsid w:val="00D73493"/>
    <w:rsid w:val="00D74098"/>
    <w:rsid w:val="00D74264"/>
    <w:rsid w:val="00D749C9"/>
    <w:rsid w:val="00D74DEF"/>
    <w:rsid w:val="00D751B3"/>
    <w:rsid w:val="00D777C4"/>
    <w:rsid w:val="00D80578"/>
    <w:rsid w:val="00D8102F"/>
    <w:rsid w:val="00D81AA3"/>
    <w:rsid w:val="00D81C1F"/>
    <w:rsid w:val="00D822F6"/>
    <w:rsid w:val="00D83636"/>
    <w:rsid w:val="00D8553D"/>
    <w:rsid w:val="00D85F98"/>
    <w:rsid w:val="00D86162"/>
    <w:rsid w:val="00D86455"/>
    <w:rsid w:val="00D869C3"/>
    <w:rsid w:val="00D905D5"/>
    <w:rsid w:val="00D912FC"/>
    <w:rsid w:val="00D91AE1"/>
    <w:rsid w:val="00DA151F"/>
    <w:rsid w:val="00DA1684"/>
    <w:rsid w:val="00DA397A"/>
    <w:rsid w:val="00DA3B92"/>
    <w:rsid w:val="00DA4689"/>
    <w:rsid w:val="00DA474C"/>
    <w:rsid w:val="00DA4891"/>
    <w:rsid w:val="00DA4926"/>
    <w:rsid w:val="00DA6B7D"/>
    <w:rsid w:val="00DB02C0"/>
    <w:rsid w:val="00DB0357"/>
    <w:rsid w:val="00DB2227"/>
    <w:rsid w:val="00DB23F6"/>
    <w:rsid w:val="00DB284F"/>
    <w:rsid w:val="00DB39B4"/>
    <w:rsid w:val="00DB3E0A"/>
    <w:rsid w:val="00DB5D01"/>
    <w:rsid w:val="00DB79E4"/>
    <w:rsid w:val="00DC06A4"/>
    <w:rsid w:val="00DC0ACA"/>
    <w:rsid w:val="00DC1684"/>
    <w:rsid w:val="00DC2BF8"/>
    <w:rsid w:val="00DC3459"/>
    <w:rsid w:val="00DC3B22"/>
    <w:rsid w:val="00DD0D69"/>
    <w:rsid w:val="00DD26E3"/>
    <w:rsid w:val="00DD3D37"/>
    <w:rsid w:val="00DD4EF2"/>
    <w:rsid w:val="00DD7636"/>
    <w:rsid w:val="00DE16CD"/>
    <w:rsid w:val="00DE32E5"/>
    <w:rsid w:val="00DE3605"/>
    <w:rsid w:val="00DE3946"/>
    <w:rsid w:val="00DE3C7B"/>
    <w:rsid w:val="00DE44DB"/>
    <w:rsid w:val="00DE4881"/>
    <w:rsid w:val="00DE4AD3"/>
    <w:rsid w:val="00DE5661"/>
    <w:rsid w:val="00DE5C7B"/>
    <w:rsid w:val="00DE68B4"/>
    <w:rsid w:val="00DF09B1"/>
    <w:rsid w:val="00DF14B9"/>
    <w:rsid w:val="00DF26B2"/>
    <w:rsid w:val="00DF4DDE"/>
    <w:rsid w:val="00DF5762"/>
    <w:rsid w:val="00DF73C4"/>
    <w:rsid w:val="00DF76B9"/>
    <w:rsid w:val="00E00BB7"/>
    <w:rsid w:val="00E01FF7"/>
    <w:rsid w:val="00E0292B"/>
    <w:rsid w:val="00E0320C"/>
    <w:rsid w:val="00E03565"/>
    <w:rsid w:val="00E03DC4"/>
    <w:rsid w:val="00E042A9"/>
    <w:rsid w:val="00E05889"/>
    <w:rsid w:val="00E05FC9"/>
    <w:rsid w:val="00E06183"/>
    <w:rsid w:val="00E072D8"/>
    <w:rsid w:val="00E10832"/>
    <w:rsid w:val="00E10C0D"/>
    <w:rsid w:val="00E117C6"/>
    <w:rsid w:val="00E11E52"/>
    <w:rsid w:val="00E11F6A"/>
    <w:rsid w:val="00E12E6A"/>
    <w:rsid w:val="00E14666"/>
    <w:rsid w:val="00E14EC2"/>
    <w:rsid w:val="00E151D6"/>
    <w:rsid w:val="00E15329"/>
    <w:rsid w:val="00E15664"/>
    <w:rsid w:val="00E15A03"/>
    <w:rsid w:val="00E167E1"/>
    <w:rsid w:val="00E21E8C"/>
    <w:rsid w:val="00E228D6"/>
    <w:rsid w:val="00E250B5"/>
    <w:rsid w:val="00E26155"/>
    <w:rsid w:val="00E2708D"/>
    <w:rsid w:val="00E270E6"/>
    <w:rsid w:val="00E2770A"/>
    <w:rsid w:val="00E33737"/>
    <w:rsid w:val="00E33CD1"/>
    <w:rsid w:val="00E36C6E"/>
    <w:rsid w:val="00E40C06"/>
    <w:rsid w:val="00E40F6F"/>
    <w:rsid w:val="00E42717"/>
    <w:rsid w:val="00E43DFA"/>
    <w:rsid w:val="00E43E30"/>
    <w:rsid w:val="00E44250"/>
    <w:rsid w:val="00E45553"/>
    <w:rsid w:val="00E45A60"/>
    <w:rsid w:val="00E4639E"/>
    <w:rsid w:val="00E47E96"/>
    <w:rsid w:val="00E510DC"/>
    <w:rsid w:val="00E53631"/>
    <w:rsid w:val="00E5420C"/>
    <w:rsid w:val="00E56339"/>
    <w:rsid w:val="00E56ECC"/>
    <w:rsid w:val="00E572EF"/>
    <w:rsid w:val="00E5762D"/>
    <w:rsid w:val="00E57FEE"/>
    <w:rsid w:val="00E629C3"/>
    <w:rsid w:val="00E63001"/>
    <w:rsid w:val="00E6536A"/>
    <w:rsid w:val="00E667B4"/>
    <w:rsid w:val="00E67866"/>
    <w:rsid w:val="00E715FD"/>
    <w:rsid w:val="00E71601"/>
    <w:rsid w:val="00E718F8"/>
    <w:rsid w:val="00E71F11"/>
    <w:rsid w:val="00E729F5"/>
    <w:rsid w:val="00E736B3"/>
    <w:rsid w:val="00E73C8D"/>
    <w:rsid w:val="00E758D8"/>
    <w:rsid w:val="00E75C18"/>
    <w:rsid w:val="00E76BE0"/>
    <w:rsid w:val="00E76DB1"/>
    <w:rsid w:val="00E76EAA"/>
    <w:rsid w:val="00E7728D"/>
    <w:rsid w:val="00E7795C"/>
    <w:rsid w:val="00E77F48"/>
    <w:rsid w:val="00E80B69"/>
    <w:rsid w:val="00E81991"/>
    <w:rsid w:val="00E83C37"/>
    <w:rsid w:val="00E87B8E"/>
    <w:rsid w:val="00E900D1"/>
    <w:rsid w:val="00E90673"/>
    <w:rsid w:val="00E91856"/>
    <w:rsid w:val="00E92149"/>
    <w:rsid w:val="00E92613"/>
    <w:rsid w:val="00E926EA"/>
    <w:rsid w:val="00E930E1"/>
    <w:rsid w:val="00E932CE"/>
    <w:rsid w:val="00E9330B"/>
    <w:rsid w:val="00E937F2"/>
    <w:rsid w:val="00E96BC6"/>
    <w:rsid w:val="00E96D3E"/>
    <w:rsid w:val="00E976C6"/>
    <w:rsid w:val="00EA00F3"/>
    <w:rsid w:val="00EA07A3"/>
    <w:rsid w:val="00EA0FFB"/>
    <w:rsid w:val="00EA1938"/>
    <w:rsid w:val="00EA1DF8"/>
    <w:rsid w:val="00EA2155"/>
    <w:rsid w:val="00EA3A4B"/>
    <w:rsid w:val="00EA4F03"/>
    <w:rsid w:val="00EA6C48"/>
    <w:rsid w:val="00EA71E1"/>
    <w:rsid w:val="00EB0107"/>
    <w:rsid w:val="00EB0AE8"/>
    <w:rsid w:val="00EB26CD"/>
    <w:rsid w:val="00EB3306"/>
    <w:rsid w:val="00EB3FB0"/>
    <w:rsid w:val="00EB435C"/>
    <w:rsid w:val="00EB4C4B"/>
    <w:rsid w:val="00EB4F26"/>
    <w:rsid w:val="00EB5A09"/>
    <w:rsid w:val="00EB5B49"/>
    <w:rsid w:val="00EB6DDD"/>
    <w:rsid w:val="00EB6E94"/>
    <w:rsid w:val="00EC1C37"/>
    <w:rsid w:val="00EC4220"/>
    <w:rsid w:val="00EC4A33"/>
    <w:rsid w:val="00EC4A87"/>
    <w:rsid w:val="00EC5900"/>
    <w:rsid w:val="00EC5E44"/>
    <w:rsid w:val="00EC6271"/>
    <w:rsid w:val="00EC7556"/>
    <w:rsid w:val="00EC7A99"/>
    <w:rsid w:val="00ED086D"/>
    <w:rsid w:val="00ED0F0B"/>
    <w:rsid w:val="00ED1036"/>
    <w:rsid w:val="00ED2EBC"/>
    <w:rsid w:val="00ED3AF2"/>
    <w:rsid w:val="00ED4242"/>
    <w:rsid w:val="00ED42A3"/>
    <w:rsid w:val="00ED4755"/>
    <w:rsid w:val="00ED584C"/>
    <w:rsid w:val="00ED7431"/>
    <w:rsid w:val="00EE0519"/>
    <w:rsid w:val="00EE2179"/>
    <w:rsid w:val="00EE2381"/>
    <w:rsid w:val="00EE3BFD"/>
    <w:rsid w:val="00EE5A58"/>
    <w:rsid w:val="00EE64AA"/>
    <w:rsid w:val="00EE77EC"/>
    <w:rsid w:val="00EF0CFD"/>
    <w:rsid w:val="00EF0E9B"/>
    <w:rsid w:val="00EF1BA6"/>
    <w:rsid w:val="00EF3AB4"/>
    <w:rsid w:val="00EF4866"/>
    <w:rsid w:val="00EF6708"/>
    <w:rsid w:val="00EF6DD7"/>
    <w:rsid w:val="00EF754F"/>
    <w:rsid w:val="00F004E9"/>
    <w:rsid w:val="00F010EE"/>
    <w:rsid w:val="00F02332"/>
    <w:rsid w:val="00F0467A"/>
    <w:rsid w:val="00F0649C"/>
    <w:rsid w:val="00F07952"/>
    <w:rsid w:val="00F10AC6"/>
    <w:rsid w:val="00F20E61"/>
    <w:rsid w:val="00F2303B"/>
    <w:rsid w:val="00F23656"/>
    <w:rsid w:val="00F238B5"/>
    <w:rsid w:val="00F257D4"/>
    <w:rsid w:val="00F25A44"/>
    <w:rsid w:val="00F25F45"/>
    <w:rsid w:val="00F26811"/>
    <w:rsid w:val="00F26C08"/>
    <w:rsid w:val="00F336CC"/>
    <w:rsid w:val="00F33EFF"/>
    <w:rsid w:val="00F34FD9"/>
    <w:rsid w:val="00F35B03"/>
    <w:rsid w:val="00F36121"/>
    <w:rsid w:val="00F36EA1"/>
    <w:rsid w:val="00F3743A"/>
    <w:rsid w:val="00F37FA5"/>
    <w:rsid w:val="00F40144"/>
    <w:rsid w:val="00F40265"/>
    <w:rsid w:val="00F42DF2"/>
    <w:rsid w:val="00F44415"/>
    <w:rsid w:val="00F44691"/>
    <w:rsid w:val="00F448CA"/>
    <w:rsid w:val="00F45123"/>
    <w:rsid w:val="00F4578F"/>
    <w:rsid w:val="00F46149"/>
    <w:rsid w:val="00F46952"/>
    <w:rsid w:val="00F50086"/>
    <w:rsid w:val="00F50497"/>
    <w:rsid w:val="00F52603"/>
    <w:rsid w:val="00F52760"/>
    <w:rsid w:val="00F52E2D"/>
    <w:rsid w:val="00F53303"/>
    <w:rsid w:val="00F5444B"/>
    <w:rsid w:val="00F608C1"/>
    <w:rsid w:val="00F60A53"/>
    <w:rsid w:val="00F60E69"/>
    <w:rsid w:val="00F61230"/>
    <w:rsid w:val="00F62F45"/>
    <w:rsid w:val="00F6309B"/>
    <w:rsid w:val="00F64615"/>
    <w:rsid w:val="00F65669"/>
    <w:rsid w:val="00F659BB"/>
    <w:rsid w:val="00F65E67"/>
    <w:rsid w:val="00F701B3"/>
    <w:rsid w:val="00F7123B"/>
    <w:rsid w:val="00F71993"/>
    <w:rsid w:val="00F72BBB"/>
    <w:rsid w:val="00F735E8"/>
    <w:rsid w:val="00F739F2"/>
    <w:rsid w:val="00F73CCF"/>
    <w:rsid w:val="00F74FE5"/>
    <w:rsid w:val="00F750B6"/>
    <w:rsid w:val="00F76B07"/>
    <w:rsid w:val="00F80AE3"/>
    <w:rsid w:val="00F8360A"/>
    <w:rsid w:val="00F83B96"/>
    <w:rsid w:val="00F845E6"/>
    <w:rsid w:val="00F849DF"/>
    <w:rsid w:val="00F8600D"/>
    <w:rsid w:val="00F8786B"/>
    <w:rsid w:val="00F90530"/>
    <w:rsid w:val="00F91D8A"/>
    <w:rsid w:val="00F93915"/>
    <w:rsid w:val="00F93F3C"/>
    <w:rsid w:val="00F94304"/>
    <w:rsid w:val="00F9437B"/>
    <w:rsid w:val="00F943F5"/>
    <w:rsid w:val="00F94501"/>
    <w:rsid w:val="00F94AF9"/>
    <w:rsid w:val="00F94F1B"/>
    <w:rsid w:val="00F957AF"/>
    <w:rsid w:val="00F96174"/>
    <w:rsid w:val="00FA08E4"/>
    <w:rsid w:val="00FA0CF7"/>
    <w:rsid w:val="00FA1A11"/>
    <w:rsid w:val="00FA2515"/>
    <w:rsid w:val="00FA269B"/>
    <w:rsid w:val="00FA340A"/>
    <w:rsid w:val="00FA4024"/>
    <w:rsid w:val="00FA4F9B"/>
    <w:rsid w:val="00FA5DAA"/>
    <w:rsid w:val="00FA6B10"/>
    <w:rsid w:val="00FA710D"/>
    <w:rsid w:val="00FB0D18"/>
    <w:rsid w:val="00FB0D71"/>
    <w:rsid w:val="00FB1517"/>
    <w:rsid w:val="00FB390F"/>
    <w:rsid w:val="00FB4712"/>
    <w:rsid w:val="00FB4A24"/>
    <w:rsid w:val="00FB4E49"/>
    <w:rsid w:val="00FB582F"/>
    <w:rsid w:val="00FB63B1"/>
    <w:rsid w:val="00FB6B5D"/>
    <w:rsid w:val="00FC082C"/>
    <w:rsid w:val="00FC12D1"/>
    <w:rsid w:val="00FC2426"/>
    <w:rsid w:val="00FC3210"/>
    <w:rsid w:val="00FC3827"/>
    <w:rsid w:val="00FC3AF0"/>
    <w:rsid w:val="00FC3BFD"/>
    <w:rsid w:val="00FC4B9F"/>
    <w:rsid w:val="00FC4DD0"/>
    <w:rsid w:val="00FC6110"/>
    <w:rsid w:val="00FC6196"/>
    <w:rsid w:val="00FC654F"/>
    <w:rsid w:val="00FC66FF"/>
    <w:rsid w:val="00FC77AF"/>
    <w:rsid w:val="00FC79C6"/>
    <w:rsid w:val="00FD00C2"/>
    <w:rsid w:val="00FD0991"/>
    <w:rsid w:val="00FD1226"/>
    <w:rsid w:val="00FD4AB2"/>
    <w:rsid w:val="00FD4F6B"/>
    <w:rsid w:val="00FD4FDA"/>
    <w:rsid w:val="00FD620B"/>
    <w:rsid w:val="00FD6B02"/>
    <w:rsid w:val="00FE0037"/>
    <w:rsid w:val="00FE0B7F"/>
    <w:rsid w:val="00FE0F32"/>
    <w:rsid w:val="00FE11DF"/>
    <w:rsid w:val="00FE2C69"/>
    <w:rsid w:val="00FE2E9C"/>
    <w:rsid w:val="00FE4EFF"/>
    <w:rsid w:val="00FE62AA"/>
    <w:rsid w:val="00FF047B"/>
    <w:rsid w:val="00FF2F1A"/>
    <w:rsid w:val="00FF2FB9"/>
    <w:rsid w:val="00FF364F"/>
    <w:rsid w:val="00FF41A6"/>
    <w:rsid w:val="00FF4768"/>
    <w:rsid w:val="00FF748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F9A09A"/>
  <w15:docId w15:val="{07CD536A-1E75-4B16-8266-A39025BDF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iPriority="9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next w:val="F2-zkladn"/>
    <w:qFormat/>
    <w:rsid w:val="004202CB"/>
    <w:pPr>
      <w:spacing w:before="240" w:line="300" w:lineRule="exact"/>
      <w:jc w:val="both"/>
    </w:pPr>
    <w:rPr>
      <w:rFonts w:ascii="Arial" w:hAnsi="Arial" w:cs="Arial"/>
    </w:rPr>
  </w:style>
  <w:style w:type="paragraph" w:styleId="Nadpis1">
    <w:name w:val="heading 1"/>
    <w:aliases w:val="F10 - Nadpis 1"/>
    <w:basedOn w:val="Normln"/>
    <w:next w:val="Normln"/>
    <w:qFormat/>
    <w:rsid w:val="00794E4C"/>
    <w:pPr>
      <w:keepNext/>
      <w:spacing w:after="60"/>
      <w:outlineLvl w:val="0"/>
    </w:pPr>
    <w:rPr>
      <w:b/>
      <w:bCs/>
      <w:kern w:val="32"/>
      <w:sz w:val="32"/>
      <w:szCs w:val="32"/>
    </w:rPr>
  </w:style>
  <w:style w:type="paragraph" w:styleId="Nadpis2">
    <w:name w:val="heading 2"/>
    <w:aliases w:val="F9 - Nadpis 2"/>
    <w:basedOn w:val="Normln"/>
    <w:next w:val="Normln"/>
    <w:qFormat/>
    <w:rsid w:val="00F94AF9"/>
    <w:pPr>
      <w:keepNext/>
      <w:numPr>
        <w:ilvl w:val="1"/>
        <w:numId w:val="4"/>
      </w:numPr>
      <w:spacing w:after="60"/>
      <w:outlineLvl w:val="1"/>
    </w:pPr>
    <w:rPr>
      <w:b/>
      <w:bCs/>
      <w:i/>
      <w:iCs/>
      <w:sz w:val="28"/>
      <w:szCs w:val="28"/>
    </w:rPr>
  </w:style>
  <w:style w:type="paragraph" w:styleId="Nadpis3">
    <w:name w:val="heading 3"/>
    <w:aliases w:val="F8 - Nadpis 3"/>
    <w:basedOn w:val="Normln"/>
    <w:next w:val="Normln"/>
    <w:qFormat/>
    <w:rsid w:val="002B6FCD"/>
    <w:pPr>
      <w:keepNext/>
      <w:numPr>
        <w:ilvl w:val="2"/>
        <w:numId w:val="5"/>
      </w:numPr>
      <w:spacing w:after="60"/>
      <w:outlineLvl w:val="2"/>
    </w:pPr>
    <w:rPr>
      <w:b/>
      <w:bCs/>
      <w:sz w:val="26"/>
      <w:szCs w:val="26"/>
    </w:rPr>
  </w:style>
  <w:style w:type="paragraph" w:styleId="Nadpis4">
    <w:name w:val="heading 4"/>
    <w:basedOn w:val="Normln"/>
    <w:next w:val="Normln"/>
    <w:qFormat/>
    <w:rsid w:val="00C5024B"/>
    <w:pPr>
      <w:keepNext/>
      <w:spacing w:after="60"/>
      <w:outlineLvl w:val="3"/>
    </w:pPr>
    <w:rPr>
      <w:b/>
      <w:bCs/>
      <w:sz w:val="28"/>
      <w:szCs w:val="28"/>
    </w:rPr>
  </w:style>
  <w:style w:type="paragraph" w:styleId="Nadpis5">
    <w:name w:val="heading 5"/>
    <w:basedOn w:val="Normln"/>
    <w:next w:val="Normln"/>
    <w:qFormat/>
    <w:rsid w:val="00C5024B"/>
    <w:pPr>
      <w:numPr>
        <w:ilvl w:val="4"/>
        <w:numId w:val="6"/>
      </w:numPr>
      <w:spacing w:after="60"/>
      <w:outlineLvl w:val="4"/>
    </w:pPr>
    <w:rPr>
      <w:b/>
      <w:bCs/>
      <w:i/>
      <w:iCs/>
      <w:sz w:val="26"/>
      <w:szCs w:val="26"/>
    </w:rPr>
  </w:style>
  <w:style w:type="paragraph" w:styleId="Nadpis6">
    <w:name w:val="heading 6"/>
    <w:basedOn w:val="Normln"/>
    <w:next w:val="Normln"/>
    <w:qFormat/>
    <w:rsid w:val="00C5024B"/>
    <w:pPr>
      <w:numPr>
        <w:ilvl w:val="5"/>
        <w:numId w:val="6"/>
      </w:numPr>
      <w:spacing w:after="60"/>
      <w:outlineLvl w:val="5"/>
    </w:pPr>
    <w:rPr>
      <w:b/>
      <w:bCs/>
      <w:sz w:val="22"/>
      <w:szCs w:val="22"/>
    </w:rPr>
  </w:style>
  <w:style w:type="paragraph" w:styleId="Nadpis7">
    <w:name w:val="heading 7"/>
    <w:basedOn w:val="Normln"/>
    <w:next w:val="Normln"/>
    <w:qFormat/>
    <w:rsid w:val="00C5024B"/>
    <w:pPr>
      <w:numPr>
        <w:ilvl w:val="6"/>
        <w:numId w:val="6"/>
      </w:numPr>
      <w:spacing w:after="60"/>
      <w:outlineLvl w:val="6"/>
    </w:pPr>
  </w:style>
  <w:style w:type="paragraph" w:styleId="Nadpis8">
    <w:name w:val="heading 8"/>
    <w:basedOn w:val="Normln"/>
    <w:next w:val="Normln"/>
    <w:qFormat/>
    <w:rsid w:val="00C5024B"/>
    <w:pPr>
      <w:numPr>
        <w:ilvl w:val="7"/>
        <w:numId w:val="6"/>
      </w:numPr>
      <w:spacing w:after="60"/>
      <w:outlineLvl w:val="7"/>
    </w:pPr>
    <w:rPr>
      <w:i/>
      <w:iCs/>
    </w:rPr>
  </w:style>
  <w:style w:type="paragraph" w:styleId="Nadpis9">
    <w:name w:val="heading 9"/>
    <w:basedOn w:val="Normln"/>
    <w:next w:val="Normln"/>
    <w:qFormat/>
    <w:rsid w:val="00C5024B"/>
    <w:pPr>
      <w:numPr>
        <w:ilvl w:val="8"/>
        <w:numId w:val="6"/>
      </w:numPr>
      <w:spacing w:after="60"/>
      <w:outlineLvl w:val="8"/>
    </w:pPr>
    <w:rPr>
      <w:sz w:val="22"/>
      <w:szCs w:val="22"/>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F2-zkladn">
    <w:name w:val="F2 - základní"/>
    <w:link w:val="F2-zkladnCharChar"/>
    <w:rsid w:val="00D74098"/>
    <w:pPr>
      <w:spacing w:before="240" w:line="300" w:lineRule="exact"/>
      <w:jc w:val="both"/>
    </w:pPr>
    <w:rPr>
      <w:rFonts w:ascii="Arial" w:hAnsi="Arial" w:cs="Arial"/>
    </w:rPr>
  </w:style>
  <w:style w:type="paragraph" w:customStyle="1" w:styleId="F3-odrka">
    <w:name w:val="F3 - odrážka"/>
    <w:basedOn w:val="F2-zkladn"/>
    <w:rsid w:val="002B0B15"/>
    <w:pPr>
      <w:numPr>
        <w:numId w:val="22"/>
      </w:numPr>
      <w:spacing w:before="60"/>
    </w:pPr>
  </w:style>
  <w:style w:type="paragraph" w:customStyle="1" w:styleId="F4-slovn">
    <w:name w:val="F4 - číslování"/>
    <w:basedOn w:val="F2-zkladn"/>
    <w:rsid w:val="009C3F13"/>
    <w:pPr>
      <w:numPr>
        <w:numId w:val="20"/>
      </w:numPr>
      <w:spacing w:before="120" w:after="120"/>
    </w:pPr>
  </w:style>
  <w:style w:type="paragraph" w:customStyle="1" w:styleId="F6-kol">
    <w:name w:val="F6 - úkol"/>
    <w:basedOn w:val="F2-zkladn"/>
    <w:next w:val="F2-zkladn"/>
    <w:rsid w:val="006B13D4"/>
    <w:pPr>
      <w:numPr>
        <w:numId w:val="1"/>
      </w:numPr>
    </w:pPr>
    <w:rPr>
      <w:bCs/>
      <w:color w:val="0000FF"/>
    </w:rPr>
  </w:style>
  <w:style w:type="paragraph" w:customStyle="1" w:styleId="F5-psmena">
    <w:name w:val="F5 - písmena"/>
    <w:basedOn w:val="F2-zkladn"/>
    <w:rsid w:val="005D49F1"/>
    <w:pPr>
      <w:numPr>
        <w:numId w:val="21"/>
      </w:numPr>
      <w:spacing w:before="120" w:after="120"/>
    </w:pPr>
  </w:style>
  <w:style w:type="paragraph" w:customStyle="1" w:styleId="F7-chyba">
    <w:name w:val="F7 - chyba"/>
    <w:basedOn w:val="F2-zkladn"/>
    <w:next w:val="F2-zkladn"/>
    <w:rsid w:val="006B13D4"/>
    <w:pPr>
      <w:numPr>
        <w:numId w:val="2"/>
      </w:numPr>
    </w:pPr>
    <w:rPr>
      <w:color w:val="FF0000"/>
    </w:rPr>
  </w:style>
  <w:style w:type="paragraph" w:customStyle="1" w:styleId="F8-nadpis3">
    <w:name w:val="F8 - nadpis 3"/>
    <w:basedOn w:val="F2-zkladn"/>
    <w:next w:val="F2-zkladn"/>
    <w:rsid w:val="00C5024B"/>
    <w:pPr>
      <w:keepNext/>
      <w:keepLines/>
      <w:numPr>
        <w:ilvl w:val="2"/>
        <w:numId w:val="6"/>
      </w:numPr>
      <w:suppressAutoHyphens/>
      <w:spacing w:before="480"/>
      <w:outlineLvl w:val="2"/>
    </w:pPr>
    <w:rPr>
      <w:b/>
      <w:bCs/>
    </w:rPr>
  </w:style>
  <w:style w:type="paragraph" w:customStyle="1" w:styleId="F9-nadpis2">
    <w:name w:val="F9 - nadpis 2"/>
    <w:basedOn w:val="F2-zkladn"/>
    <w:next w:val="F2-zkladn"/>
    <w:rsid w:val="00C5024B"/>
    <w:pPr>
      <w:keepNext/>
      <w:keepLines/>
      <w:numPr>
        <w:ilvl w:val="1"/>
        <w:numId w:val="6"/>
      </w:numPr>
      <w:suppressAutoHyphens/>
      <w:spacing w:before="480"/>
      <w:outlineLvl w:val="1"/>
    </w:pPr>
    <w:rPr>
      <w:b/>
      <w:bCs/>
    </w:rPr>
  </w:style>
  <w:style w:type="paragraph" w:customStyle="1" w:styleId="F10-nadpis1">
    <w:name w:val="F10 - nadpis 1"/>
    <w:basedOn w:val="F2-zkladn"/>
    <w:next w:val="F2-zkladn"/>
    <w:rsid w:val="00C5024B"/>
    <w:pPr>
      <w:keepNext/>
      <w:keepLines/>
      <w:numPr>
        <w:numId w:val="6"/>
      </w:numPr>
      <w:suppressAutoHyphens/>
      <w:spacing w:before="480"/>
      <w:outlineLvl w:val="0"/>
    </w:pPr>
    <w:rPr>
      <w:b/>
      <w:bCs/>
    </w:rPr>
  </w:style>
  <w:style w:type="paragraph" w:customStyle="1" w:styleId="F11-hlavnkapitola">
    <w:name w:val="F11 - hlavní kapitola"/>
    <w:basedOn w:val="F2-zkladn"/>
    <w:next w:val="F2-zkladn"/>
    <w:rsid w:val="00283AE5"/>
    <w:pPr>
      <w:keepNext/>
      <w:keepLines/>
      <w:numPr>
        <w:numId w:val="3"/>
      </w:numPr>
      <w:suppressAutoHyphens/>
      <w:spacing w:before="480"/>
    </w:pPr>
    <w:rPr>
      <w:b/>
      <w:caps/>
    </w:rPr>
  </w:style>
  <w:style w:type="table" w:customStyle="1" w:styleId="TabulkaHorwathbezzapati">
    <w:name w:val="Tabulka Horwath bez zapati"/>
    <w:basedOn w:val="Normlntabulka"/>
    <w:semiHidden/>
    <w:rsid w:val="00E03DC4"/>
    <w:tblPr/>
    <w:tblStylePr w:type="firstRow">
      <w:tblPr/>
      <w:tcPr>
        <w:tcBorders>
          <w:top w:val="single" w:sz="12" w:space="0" w:color="auto"/>
          <w:bottom w:val="single" w:sz="4" w:space="0" w:color="auto"/>
        </w:tcBorders>
      </w:tcPr>
    </w:tblStylePr>
    <w:tblStylePr w:type="lastRow">
      <w:tblPr/>
      <w:tcPr>
        <w:tcBorders>
          <w:bottom w:val="single" w:sz="12" w:space="0" w:color="auto"/>
        </w:tcBorders>
      </w:tcPr>
    </w:tblStylePr>
  </w:style>
  <w:style w:type="table" w:styleId="Mkatabulky">
    <w:name w:val="Table Grid"/>
    <w:basedOn w:val="Normlntabulka"/>
    <w:uiPriority w:val="39"/>
    <w:rsid w:val="00BF06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ulka1FormatZahlavi">
    <w:name w:val="Tabulka1_FormatZahlavi"/>
    <w:basedOn w:val="Normln"/>
    <w:semiHidden/>
    <w:rsid w:val="00284C66"/>
    <w:pPr>
      <w:widowControl w:val="0"/>
      <w:suppressAutoHyphens/>
      <w:spacing w:before="40" w:after="40"/>
      <w:jc w:val="center"/>
    </w:pPr>
    <w:rPr>
      <w:b/>
      <w:bCs/>
      <w:sz w:val="16"/>
    </w:rPr>
  </w:style>
  <w:style w:type="table" w:customStyle="1" w:styleId="TabulkaHorwathsezapatim">
    <w:name w:val="Tabulka Horwath se zapatim"/>
    <w:basedOn w:val="TabulkaHorwathbezzapati"/>
    <w:semiHidden/>
    <w:rsid w:val="003A2CC7"/>
    <w:tblPr/>
    <w:tblStylePr w:type="firstRow">
      <w:tblPr/>
      <w:tcPr>
        <w:tcBorders>
          <w:top w:val="single" w:sz="12" w:space="0" w:color="auto"/>
          <w:bottom w:val="single" w:sz="4" w:space="0" w:color="auto"/>
        </w:tcBorders>
      </w:tcPr>
    </w:tblStylePr>
    <w:tblStylePr w:type="lastRow">
      <w:tblPr/>
      <w:tcPr>
        <w:tcBorders>
          <w:top w:val="single" w:sz="4" w:space="0" w:color="auto"/>
          <w:bottom w:val="single" w:sz="12" w:space="0" w:color="auto"/>
        </w:tcBorders>
      </w:tcPr>
    </w:tblStylePr>
  </w:style>
  <w:style w:type="paragraph" w:customStyle="1" w:styleId="Tabulka1PrvniSloupec">
    <w:name w:val="Tabulka1_PrvniSloupec"/>
    <w:semiHidden/>
    <w:rsid w:val="00284C66"/>
    <w:pPr>
      <w:widowControl w:val="0"/>
      <w:suppressAutoHyphens/>
      <w:spacing w:before="40" w:after="40"/>
      <w:jc w:val="right"/>
    </w:pPr>
    <w:rPr>
      <w:rFonts w:ascii="Arial" w:hAnsi="Arial"/>
      <w:sz w:val="16"/>
      <w:szCs w:val="24"/>
    </w:rPr>
  </w:style>
  <w:style w:type="paragraph" w:customStyle="1" w:styleId="Tabulka1Zbytek">
    <w:name w:val="Tabulka1_Zbytek"/>
    <w:semiHidden/>
    <w:rsid w:val="00284C66"/>
    <w:pPr>
      <w:widowControl w:val="0"/>
      <w:suppressAutoHyphens/>
      <w:spacing w:before="40" w:after="40"/>
    </w:pPr>
    <w:rPr>
      <w:rFonts w:ascii="Arial" w:hAnsi="Arial"/>
      <w:sz w:val="16"/>
      <w:szCs w:val="16"/>
    </w:rPr>
  </w:style>
  <w:style w:type="numbering" w:styleId="111111">
    <w:name w:val="Outline List 2"/>
    <w:basedOn w:val="Bezseznamu"/>
    <w:semiHidden/>
    <w:rsid w:val="00794E4C"/>
    <w:pPr>
      <w:numPr>
        <w:numId w:val="7"/>
      </w:numPr>
    </w:pPr>
  </w:style>
  <w:style w:type="numbering" w:styleId="1ai">
    <w:name w:val="Outline List 1"/>
    <w:basedOn w:val="Bezseznamu"/>
    <w:semiHidden/>
    <w:rsid w:val="00794E4C"/>
    <w:pPr>
      <w:numPr>
        <w:numId w:val="8"/>
      </w:numPr>
    </w:pPr>
  </w:style>
  <w:style w:type="paragraph" w:styleId="AdresaHTML">
    <w:name w:val="HTML Address"/>
    <w:basedOn w:val="Normln"/>
    <w:semiHidden/>
    <w:rsid w:val="00794E4C"/>
    <w:rPr>
      <w:i/>
      <w:iCs/>
    </w:rPr>
  </w:style>
  <w:style w:type="paragraph" w:styleId="Adresanaoblku">
    <w:name w:val="envelope address"/>
    <w:basedOn w:val="Normln"/>
    <w:semiHidden/>
    <w:rsid w:val="00794E4C"/>
    <w:pPr>
      <w:framePr w:w="7920" w:h="1980" w:hRule="exact" w:hSpace="141" w:wrap="auto" w:hAnchor="page" w:xAlign="center" w:yAlign="bottom"/>
      <w:ind w:left="2880"/>
    </w:pPr>
  </w:style>
  <w:style w:type="character" w:styleId="AkronymHTML">
    <w:name w:val="HTML Acronym"/>
    <w:basedOn w:val="Standardnpsmoodstavce"/>
    <w:semiHidden/>
    <w:rsid w:val="00794E4C"/>
  </w:style>
  <w:style w:type="table" w:styleId="Barevntabulka1">
    <w:name w:val="Table Colorful 1"/>
    <w:basedOn w:val="Normlntabulka"/>
    <w:semiHidden/>
    <w:rsid w:val="00794E4C"/>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Barevntabulka2">
    <w:name w:val="Table Colorful 2"/>
    <w:basedOn w:val="Normlntabulka"/>
    <w:semiHidden/>
    <w:rsid w:val="00794E4C"/>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Barevntabulka3">
    <w:name w:val="Table Colorful 3"/>
    <w:basedOn w:val="Normlntabulka"/>
    <w:semiHidden/>
    <w:rsid w:val="00794E4C"/>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styleId="CittHTML">
    <w:name w:val="HTML Cite"/>
    <w:semiHidden/>
    <w:rsid w:val="00794E4C"/>
    <w:rPr>
      <w:i/>
      <w:iCs/>
    </w:rPr>
  </w:style>
  <w:style w:type="character" w:styleId="slodku">
    <w:name w:val="line number"/>
    <w:basedOn w:val="Standardnpsmoodstavce"/>
    <w:semiHidden/>
    <w:rsid w:val="00794E4C"/>
  </w:style>
  <w:style w:type="character" w:styleId="slostrnky">
    <w:name w:val="page number"/>
    <w:basedOn w:val="Standardnpsmoodstavce"/>
    <w:semiHidden/>
    <w:rsid w:val="00794E4C"/>
  </w:style>
  <w:style w:type="paragraph" w:styleId="slovanseznam">
    <w:name w:val="List Number"/>
    <w:basedOn w:val="Normln"/>
    <w:uiPriority w:val="99"/>
    <w:semiHidden/>
    <w:rsid w:val="00794E4C"/>
    <w:pPr>
      <w:numPr>
        <w:numId w:val="9"/>
      </w:numPr>
    </w:pPr>
  </w:style>
  <w:style w:type="paragraph" w:styleId="slovanseznam2">
    <w:name w:val="List Number 2"/>
    <w:basedOn w:val="Normln"/>
    <w:semiHidden/>
    <w:rsid w:val="00794E4C"/>
    <w:pPr>
      <w:numPr>
        <w:numId w:val="10"/>
      </w:numPr>
    </w:pPr>
  </w:style>
  <w:style w:type="paragraph" w:styleId="slovanseznam3">
    <w:name w:val="List Number 3"/>
    <w:basedOn w:val="Normln"/>
    <w:semiHidden/>
    <w:rsid w:val="00794E4C"/>
    <w:pPr>
      <w:numPr>
        <w:numId w:val="11"/>
      </w:numPr>
    </w:pPr>
  </w:style>
  <w:style w:type="paragraph" w:styleId="slovanseznam4">
    <w:name w:val="List Number 4"/>
    <w:basedOn w:val="Normln"/>
    <w:semiHidden/>
    <w:rsid w:val="00794E4C"/>
    <w:pPr>
      <w:numPr>
        <w:numId w:val="12"/>
      </w:numPr>
    </w:pPr>
  </w:style>
  <w:style w:type="paragraph" w:styleId="slovanseznam5">
    <w:name w:val="List Number 5"/>
    <w:basedOn w:val="Normln"/>
    <w:semiHidden/>
    <w:rsid w:val="00794E4C"/>
    <w:pPr>
      <w:numPr>
        <w:numId w:val="13"/>
      </w:numPr>
    </w:pPr>
  </w:style>
  <w:style w:type="numbering" w:styleId="lnekoddl">
    <w:name w:val="Outline List 3"/>
    <w:basedOn w:val="Bezseznamu"/>
    <w:semiHidden/>
    <w:rsid w:val="00794E4C"/>
    <w:pPr>
      <w:numPr>
        <w:numId w:val="14"/>
      </w:numPr>
    </w:pPr>
  </w:style>
  <w:style w:type="paragraph" w:styleId="Datum">
    <w:name w:val="Date"/>
    <w:basedOn w:val="Normln"/>
    <w:next w:val="Normln"/>
    <w:semiHidden/>
    <w:rsid w:val="00794E4C"/>
  </w:style>
  <w:style w:type="character" w:styleId="DefiniceHTML">
    <w:name w:val="HTML Definition"/>
    <w:semiHidden/>
    <w:rsid w:val="00794E4C"/>
    <w:rPr>
      <w:i/>
      <w:iCs/>
    </w:rPr>
  </w:style>
  <w:style w:type="table" w:styleId="Elegantntabulka">
    <w:name w:val="Table Elegant"/>
    <w:basedOn w:val="Normlntabulka"/>
    <w:semiHidden/>
    <w:rsid w:val="00794E4C"/>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FormtovanvHTML">
    <w:name w:val="HTML Preformatted"/>
    <w:basedOn w:val="Normln"/>
    <w:link w:val="FormtovanvHTMLChar"/>
    <w:uiPriority w:val="99"/>
    <w:rsid w:val="00794E4C"/>
    <w:rPr>
      <w:rFonts w:ascii="Courier New" w:hAnsi="Courier New" w:cs="Times New Roman"/>
    </w:rPr>
  </w:style>
  <w:style w:type="character" w:styleId="Hypertextovodkaz">
    <w:name w:val="Hyperlink"/>
    <w:uiPriority w:val="99"/>
    <w:rsid w:val="00794E4C"/>
    <w:rPr>
      <w:color w:val="0000FF"/>
      <w:u w:val="single"/>
    </w:rPr>
  </w:style>
  <w:style w:type="table" w:styleId="Jednoduchtabulka1">
    <w:name w:val="Table Simple 1"/>
    <w:basedOn w:val="Normlntabulka"/>
    <w:semiHidden/>
    <w:rsid w:val="00794E4C"/>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Jednoduchtabulka2">
    <w:name w:val="Table Simple 2"/>
    <w:basedOn w:val="Normlntabulka"/>
    <w:semiHidden/>
    <w:rsid w:val="00794E4C"/>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Jednoduchtabulka3">
    <w:name w:val="Table Simple 3"/>
    <w:basedOn w:val="Normlntabulka"/>
    <w:semiHidden/>
    <w:rsid w:val="00794E4C"/>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Klasicktabulka1">
    <w:name w:val="Table Classic 1"/>
    <w:basedOn w:val="Normlntabulka"/>
    <w:semiHidden/>
    <w:rsid w:val="00794E4C"/>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icktabulka2">
    <w:name w:val="Table Classic 2"/>
    <w:basedOn w:val="Normlntabulka"/>
    <w:semiHidden/>
    <w:rsid w:val="00794E4C"/>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icktabulka3">
    <w:name w:val="Table Classic 3"/>
    <w:basedOn w:val="Normlntabulka"/>
    <w:semiHidden/>
    <w:rsid w:val="00794E4C"/>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icktabulka4">
    <w:name w:val="Table Classic 4"/>
    <w:basedOn w:val="Normlntabulka"/>
    <w:semiHidden/>
    <w:rsid w:val="00794E4C"/>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KlvesniceHTML">
    <w:name w:val="HTML Keyboard"/>
    <w:semiHidden/>
    <w:rsid w:val="00794E4C"/>
    <w:rPr>
      <w:rFonts w:ascii="Courier New" w:hAnsi="Courier New" w:cs="Courier New"/>
      <w:sz w:val="20"/>
      <w:szCs w:val="20"/>
    </w:rPr>
  </w:style>
  <w:style w:type="character" w:styleId="KdHTML">
    <w:name w:val="HTML Code"/>
    <w:semiHidden/>
    <w:rsid w:val="00794E4C"/>
    <w:rPr>
      <w:rFonts w:ascii="Courier New" w:hAnsi="Courier New" w:cs="Courier New"/>
      <w:sz w:val="20"/>
      <w:szCs w:val="20"/>
    </w:rPr>
  </w:style>
  <w:style w:type="table" w:styleId="Moderntabulka">
    <w:name w:val="Table Contemporary"/>
    <w:basedOn w:val="Normlntabulka"/>
    <w:semiHidden/>
    <w:rsid w:val="00794E4C"/>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Motivtabulky">
    <w:name w:val="Table Theme"/>
    <w:basedOn w:val="Normlntabulka"/>
    <w:semiHidden/>
    <w:rsid w:val="00794E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katabulky1">
    <w:name w:val="Table Grid 1"/>
    <w:basedOn w:val="Normlntabulka"/>
    <w:semiHidden/>
    <w:rsid w:val="00794E4C"/>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Mkatabulky2">
    <w:name w:val="Table Grid 2"/>
    <w:basedOn w:val="Normlntabulka"/>
    <w:semiHidden/>
    <w:rsid w:val="00794E4C"/>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Mkatabulky3">
    <w:name w:val="Table Grid 3"/>
    <w:basedOn w:val="Normlntabulka"/>
    <w:semiHidden/>
    <w:rsid w:val="00794E4C"/>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Mkatabulky4">
    <w:name w:val="Table Grid 4"/>
    <w:basedOn w:val="Normlntabulka"/>
    <w:semiHidden/>
    <w:rsid w:val="00794E4C"/>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Mkatabulky5">
    <w:name w:val="Table Grid 5"/>
    <w:basedOn w:val="Normlntabulka"/>
    <w:semiHidden/>
    <w:rsid w:val="00794E4C"/>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Mkatabulky6">
    <w:name w:val="Table Grid 6"/>
    <w:basedOn w:val="Normlntabulka"/>
    <w:semiHidden/>
    <w:rsid w:val="00794E4C"/>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Mkatabulky7">
    <w:name w:val="Table Grid 7"/>
    <w:basedOn w:val="Normlntabulka"/>
    <w:semiHidden/>
    <w:rsid w:val="00794E4C"/>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Mkatabulky8">
    <w:name w:val="Table Grid 8"/>
    <w:basedOn w:val="Normlntabulka"/>
    <w:semiHidden/>
    <w:rsid w:val="00794E4C"/>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Nadpispoznmky">
    <w:name w:val="Note Heading"/>
    <w:basedOn w:val="Normln"/>
    <w:next w:val="Normln"/>
    <w:semiHidden/>
    <w:rsid w:val="00794E4C"/>
  </w:style>
  <w:style w:type="paragraph" w:styleId="Nzev">
    <w:name w:val="Title"/>
    <w:basedOn w:val="Normln"/>
    <w:link w:val="NzevChar"/>
    <w:uiPriority w:val="10"/>
    <w:qFormat/>
    <w:rsid w:val="00794E4C"/>
    <w:pPr>
      <w:spacing w:after="60"/>
      <w:jc w:val="center"/>
      <w:outlineLvl w:val="0"/>
    </w:pPr>
    <w:rPr>
      <w:b/>
      <w:bCs/>
      <w:kern w:val="28"/>
      <w:sz w:val="32"/>
      <w:szCs w:val="32"/>
    </w:rPr>
  </w:style>
  <w:style w:type="paragraph" w:styleId="Normlnweb">
    <w:name w:val="Normal (Web)"/>
    <w:basedOn w:val="Normln"/>
    <w:uiPriority w:val="99"/>
    <w:rsid w:val="00794E4C"/>
  </w:style>
  <w:style w:type="paragraph" w:styleId="Normlnodsazen">
    <w:name w:val="Normal Indent"/>
    <w:basedOn w:val="Normln"/>
    <w:semiHidden/>
    <w:rsid w:val="00794E4C"/>
    <w:pPr>
      <w:ind w:left="708"/>
    </w:pPr>
  </w:style>
  <w:style w:type="paragraph" w:styleId="Osloven">
    <w:name w:val="Salutation"/>
    <w:basedOn w:val="Normln"/>
    <w:next w:val="Normln"/>
    <w:semiHidden/>
    <w:rsid w:val="00794E4C"/>
  </w:style>
  <w:style w:type="paragraph" w:styleId="Podpis">
    <w:name w:val="Signature"/>
    <w:basedOn w:val="Normln"/>
    <w:semiHidden/>
    <w:rsid w:val="00794E4C"/>
    <w:pPr>
      <w:ind w:left="4252"/>
    </w:pPr>
  </w:style>
  <w:style w:type="paragraph" w:styleId="Podpise-mailu">
    <w:name w:val="E-mail Signature"/>
    <w:basedOn w:val="Normln"/>
    <w:semiHidden/>
    <w:rsid w:val="00794E4C"/>
  </w:style>
  <w:style w:type="paragraph" w:styleId="Podnadpis">
    <w:name w:val="Subtitle"/>
    <w:basedOn w:val="Normln"/>
    <w:qFormat/>
    <w:rsid w:val="00794E4C"/>
    <w:pPr>
      <w:spacing w:after="60"/>
      <w:jc w:val="center"/>
      <w:outlineLvl w:val="1"/>
    </w:pPr>
  </w:style>
  <w:style w:type="paragraph" w:styleId="Pokraovnseznamu">
    <w:name w:val="List Continue"/>
    <w:basedOn w:val="Normln"/>
    <w:semiHidden/>
    <w:rsid w:val="00794E4C"/>
    <w:pPr>
      <w:spacing w:after="120"/>
      <w:ind w:left="283"/>
    </w:pPr>
  </w:style>
  <w:style w:type="paragraph" w:styleId="Pokraovnseznamu2">
    <w:name w:val="List Continue 2"/>
    <w:basedOn w:val="Normln"/>
    <w:semiHidden/>
    <w:rsid w:val="00794E4C"/>
    <w:pPr>
      <w:spacing w:after="120"/>
      <w:ind w:left="566"/>
    </w:pPr>
  </w:style>
  <w:style w:type="paragraph" w:styleId="Pokraovnseznamu3">
    <w:name w:val="List Continue 3"/>
    <w:basedOn w:val="Normln"/>
    <w:semiHidden/>
    <w:rsid w:val="00794E4C"/>
    <w:pPr>
      <w:spacing w:after="120"/>
      <w:ind w:left="849"/>
    </w:pPr>
  </w:style>
  <w:style w:type="paragraph" w:styleId="Pokraovnseznamu4">
    <w:name w:val="List Continue 4"/>
    <w:basedOn w:val="Normln"/>
    <w:semiHidden/>
    <w:rsid w:val="00794E4C"/>
    <w:pPr>
      <w:spacing w:after="120"/>
      <w:ind w:left="1132"/>
    </w:pPr>
  </w:style>
  <w:style w:type="paragraph" w:styleId="Pokraovnseznamu5">
    <w:name w:val="List Continue 5"/>
    <w:basedOn w:val="Normln"/>
    <w:semiHidden/>
    <w:rsid w:val="00794E4C"/>
    <w:pPr>
      <w:spacing w:after="120"/>
      <w:ind w:left="1415"/>
    </w:pPr>
  </w:style>
  <w:style w:type="table" w:styleId="Profesionlntabulka">
    <w:name w:val="Table Professional"/>
    <w:basedOn w:val="Normlntabulka"/>
    <w:semiHidden/>
    <w:rsid w:val="00794E4C"/>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PromnnHTML">
    <w:name w:val="HTML Variable"/>
    <w:semiHidden/>
    <w:rsid w:val="00794E4C"/>
    <w:rPr>
      <w:i/>
      <w:iCs/>
    </w:rPr>
  </w:style>
  <w:style w:type="paragraph" w:styleId="Prosttext">
    <w:name w:val="Plain Text"/>
    <w:basedOn w:val="Normln"/>
    <w:semiHidden/>
    <w:rsid w:val="00794E4C"/>
    <w:rPr>
      <w:rFonts w:ascii="Courier New" w:hAnsi="Courier New" w:cs="Courier New"/>
    </w:rPr>
  </w:style>
  <w:style w:type="character" w:styleId="PsacstrojHTML">
    <w:name w:val="HTML Typewriter"/>
    <w:semiHidden/>
    <w:rsid w:val="00794E4C"/>
    <w:rPr>
      <w:rFonts w:ascii="Courier New" w:hAnsi="Courier New" w:cs="Courier New"/>
      <w:sz w:val="20"/>
      <w:szCs w:val="20"/>
    </w:rPr>
  </w:style>
  <w:style w:type="paragraph" w:styleId="Seznam">
    <w:name w:val="List"/>
    <w:basedOn w:val="Normln"/>
    <w:semiHidden/>
    <w:rsid w:val="00794E4C"/>
    <w:pPr>
      <w:ind w:left="283" w:hanging="283"/>
    </w:pPr>
  </w:style>
  <w:style w:type="paragraph" w:styleId="Seznam2">
    <w:name w:val="List 2"/>
    <w:basedOn w:val="Normln"/>
    <w:semiHidden/>
    <w:rsid w:val="00794E4C"/>
    <w:pPr>
      <w:ind w:left="566" w:hanging="283"/>
    </w:pPr>
  </w:style>
  <w:style w:type="paragraph" w:styleId="Seznam3">
    <w:name w:val="List 3"/>
    <w:basedOn w:val="Normln"/>
    <w:semiHidden/>
    <w:rsid w:val="00794E4C"/>
    <w:pPr>
      <w:ind w:left="849" w:hanging="283"/>
    </w:pPr>
  </w:style>
  <w:style w:type="paragraph" w:styleId="Seznam4">
    <w:name w:val="List 4"/>
    <w:basedOn w:val="Normln"/>
    <w:semiHidden/>
    <w:rsid w:val="00794E4C"/>
    <w:pPr>
      <w:ind w:left="1132" w:hanging="283"/>
    </w:pPr>
  </w:style>
  <w:style w:type="paragraph" w:styleId="Seznam5">
    <w:name w:val="List 5"/>
    <w:basedOn w:val="Normln"/>
    <w:semiHidden/>
    <w:rsid w:val="00794E4C"/>
    <w:pPr>
      <w:ind w:left="1415" w:hanging="283"/>
    </w:pPr>
  </w:style>
  <w:style w:type="paragraph" w:styleId="Seznamsodrkami">
    <w:name w:val="List Bullet"/>
    <w:basedOn w:val="Normln"/>
    <w:semiHidden/>
    <w:rsid w:val="00794E4C"/>
    <w:pPr>
      <w:numPr>
        <w:numId w:val="15"/>
      </w:numPr>
    </w:pPr>
  </w:style>
  <w:style w:type="paragraph" w:styleId="Seznamsodrkami2">
    <w:name w:val="List Bullet 2"/>
    <w:basedOn w:val="Normln"/>
    <w:semiHidden/>
    <w:rsid w:val="00794E4C"/>
    <w:pPr>
      <w:numPr>
        <w:numId w:val="16"/>
      </w:numPr>
    </w:pPr>
  </w:style>
  <w:style w:type="paragraph" w:styleId="Seznamsodrkami3">
    <w:name w:val="List Bullet 3"/>
    <w:basedOn w:val="Normln"/>
    <w:semiHidden/>
    <w:rsid w:val="00794E4C"/>
    <w:pPr>
      <w:numPr>
        <w:numId w:val="17"/>
      </w:numPr>
    </w:pPr>
  </w:style>
  <w:style w:type="paragraph" w:styleId="Seznamsodrkami4">
    <w:name w:val="List Bullet 4"/>
    <w:basedOn w:val="Normln"/>
    <w:semiHidden/>
    <w:rsid w:val="00794E4C"/>
    <w:pPr>
      <w:numPr>
        <w:numId w:val="18"/>
      </w:numPr>
    </w:pPr>
  </w:style>
  <w:style w:type="paragraph" w:styleId="Seznamsodrkami5">
    <w:name w:val="List Bullet 5"/>
    <w:basedOn w:val="Normln"/>
    <w:semiHidden/>
    <w:rsid w:val="00794E4C"/>
    <w:pPr>
      <w:numPr>
        <w:numId w:val="19"/>
      </w:numPr>
    </w:pPr>
  </w:style>
  <w:style w:type="character" w:styleId="Siln">
    <w:name w:val="Strong"/>
    <w:uiPriority w:val="22"/>
    <w:qFormat/>
    <w:rsid w:val="00794E4C"/>
    <w:rPr>
      <w:b/>
      <w:bCs/>
    </w:rPr>
  </w:style>
  <w:style w:type="character" w:styleId="Sledovanodkaz">
    <w:name w:val="FollowedHyperlink"/>
    <w:semiHidden/>
    <w:rsid w:val="00794E4C"/>
    <w:rPr>
      <w:color w:val="800080"/>
      <w:u w:val="single"/>
    </w:rPr>
  </w:style>
  <w:style w:type="table" w:styleId="Sloupcetabulky1">
    <w:name w:val="Table Columns 1"/>
    <w:basedOn w:val="Normlntabulka"/>
    <w:semiHidden/>
    <w:rsid w:val="00794E4C"/>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Sloupcetabulky2">
    <w:name w:val="Table Columns 2"/>
    <w:basedOn w:val="Normlntabulka"/>
    <w:semiHidden/>
    <w:rsid w:val="00794E4C"/>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Sloupcetabulky3">
    <w:name w:val="Table Columns 3"/>
    <w:basedOn w:val="Normlntabulka"/>
    <w:semiHidden/>
    <w:rsid w:val="00794E4C"/>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Sloupcetabulky4">
    <w:name w:val="Table Columns 4"/>
    <w:basedOn w:val="Normlntabulka"/>
    <w:semiHidden/>
    <w:rsid w:val="00794E4C"/>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Sloupcetabulky5">
    <w:name w:val="Table Columns 5"/>
    <w:basedOn w:val="Normlntabulka"/>
    <w:semiHidden/>
    <w:rsid w:val="00794E4C"/>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ulkajakoseznam1">
    <w:name w:val="Table List 1"/>
    <w:basedOn w:val="Normlntabulka"/>
    <w:semiHidden/>
    <w:rsid w:val="00794E4C"/>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ulkajakoseznam2">
    <w:name w:val="Table List 2"/>
    <w:basedOn w:val="Normlntabulka"/>
    <w:semiHidden/>
    <w:rsid w:val="00794E4C"/>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ulkajakoseznam3">
    <w:name w:val="Table List 3"/>
    <w:basedOn w:val="Normlntabulka"/>
    <w:semiHidden/>
    <w:rsid w:val="00794E4C"/>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ulkajakoseznam4">
    <w:name w:val="Table List 4"/>
    <w:basedOn w:val="Normlntabulka"/>
    <w:semiHidden/>
    <w:rsid w:val="00794E4C"/>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ulkajakoseznam5">
    <w:name w:val="Table List 5"/>
    <w:basedOn w:val="Normlntabulka"/>
    <w:semiHidden/>
    <w:rsid w:val="00794E4C"/>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ulkajakoseznam6">
    <w:name w:val="Table List 6"/>
    <w:basedOn w:val="Normlntabulka"/>
    <w:semiHidden/>
    <w:rsid w:val="00794E4C"/>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ulkajakoseznam7">
    <w:name w:val="Table List 7"/>
    <w:basedOn w:val="Normlntabulka"/>
    <w:semiHidden/>
    <w:rsid w:val="00794E4C"/>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ulkajakoseznam8">
    <w:name w:val="Table List 8"/>
    <w:basedOn w:val="Normlntabulka"/>
    <w:semiHidden/>
    <w:rsid w:val="00794E4C"/>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ulkasprostorovmiefekty1">
    <w:name w:val="Table 3D effects 1"/>
    <w:basedOn w:val="Normlntabulka"/>
    <w:semiHidden/>
    <w:rsid w:val="00794E4C"/>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ulkasprostorovmiefekty2">
    <w:name w:val="Table 3D effects 2"/>
    <w:basedOn w:val="Normlntabulka"/>
    <w:semiHidden/>
    <w:rsid w:val="00794E4C"/>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ulkasprostorovmiefekty3">
    <w:name w:val="Table 3D effects 3"/>
    <w:basedOn w:val="Normlntabulka"/>
    <w:semiHidden/>
    <w:rsid w:val="00794E4C"/>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ulkastlumenmibarvami1">
    <w:name w:val="Table Subtle 1"/>
    <w:basedOn w:val="Normlntabulka"/>
    <w:semiHidden/>
    <w:rsid w:val="00794E4C"/>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ulkastlumenmibarvami2">
    <w:name w:val="Table Subtle 2"/>
    <w:basedOn w:val="Normlntabulka"/>
    <w:semiHidden/>
    <w:rsid w:val="00794E4C"/>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Textvbloku">
    <w:name w:val="Block Text"/>
    <w:basedOn w:val="Normln"/>
    <w:semiHidden/>
    <w:rsid w:val="00794E4C"/>
    <w:pPr>
      <w:spacing w:after="120"/>
      <w:ind w:left="1440" w:right="1440"/>
    </w:pPr>
  </w:style>
  <w:style w:type="character" w:styleId="UkzkaHTML">
    <w:name w:val="HTML Sample"/>
    <w:semiHidden/>
    <w:rsid w:val="00794E4C"/>
    <w:rPr>
      <w:rFonts w:ascii="Courier New" w:hAnsi="Courier New" w:cs="Courier New"/>
    </w:rPr>
  </w:style>
  <w:style w:type="table" w:styleId="Webovtabulka1">
    <w:name w:val="Table Web 1"/>
    <w:basedOn w:val="Normlntabulka"/>
    <w:semiHidden/>
    <w:rsid w:val="00794E4C"/>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ovtabulka2">
    <w:name w:val="Table Web 2"/>
    <w:basedOn w:val="Normlntabulka"/>
    <w:semiHidden/>
    <w:rsid w:val="00794E4C"/>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ovtabulka3">
    <w:name w:val="Table Web 3"/>
    <w:basedOn w:val="Normlntabulka"/>
    <w:semiHidden/>
    <w:rsid w:val="00794E4C"/>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Zhlav">
    <w:name w:val="header"/>
    <w:basedOn w:val="Normln"/>
    <w:semiHidden/>
    <w:rsid w:val="00794E4C"/>
    <w:pPr>
      <w:tabs>
        <w:tab w:val="center" w:pos="4536"/>
        <w:tab w:val="right" w:pos="9072"/>
      </w:tabs>
    </w:pPr>
  </w:style>
  <w:style w:type="paragraph" w:styleId="Zhlavzprvy">
    <w:name w:val="Message Header"/>
    <w:basedOn w:val="Normln"/>
    <w:semiHidden/>
    <w:rsid w:val="00794E4C"/>
    <w:pPr>
      <w:pBdr>
        <w:top w:val="single" w:sz="6" w:space="1" w:color="auto"/>
        <w:left w:val="single" w:sz="6" w:space="1" w:color="auto"/>
        <w:bottom w:val="single" w:sz="6" w:space="1" w:color="auto"/>
        <w:right w:val="single" w:sz="6" w:space="1" w:color="auto"/>
      </w:pBdr>
      <w:shd w:val="pct20" w:color="auto" w:fill="auto"/>
      <w:ind w:left="1134" w:hanging="1134"/>
    </w:pPr>
  </w:style>
  <w:style w:type="paragraph" w:styleId="Zkladntext">
    <w:name w:val="Body Text"/>
    <w:basedOn w:val="Normln"/>
    <w:semiHidden/>
    <w:rsid w:val="00794E4C"/>
    <w:pPr>
      <w:spacing w:after="120"/>
    </w:pPr>
  </w:style>
  <w:style w:type="paragraph" w:styleId="Zkladntext-prvnodsazen">
    <w:name w:val="Body Text First Indent"/>
    <w:basedOn w:val="Zkladntext"/>
    <w:semiHidden/>
    <w:rsid w:val="00794E4C"/>
    <w:pPr>
      <w:ind w:firstLine="210"/>
    </w:pPr>
  </w:style>
  <w:style w:type="paragraph" w:styleId="Zkladntextodsazen">
    <w:name w:val="Body Text Indent"/>
    <w:basedOn w:val="Normln"/>
    <w:semiHidden/>
    <w:rsid w:val="00794E4C"/>
    <w:pPr>
      <w:spacing w:after="120"/>
      <w:ind w:left="283"/>
    </w:pPr>
  </w:style>
  <w:style w:type="paragraph" w:styleId="Zkladntext-prvnodsazen2">
    <w:name w:val="Body Text First Indent 2"/>
    <w:basedOn w:val="Zkladntextodsazen"/>
    <w:semiHidden/>
    <w:rsid w:val="00794E4C"/>
    <w:pPr>
      <w:ind w:firstLine="210"/>
    </w:pPr>
  </w:style>
  <w:style w:type="paragraph" w:styleId="Zkladntext2">
    <w:name w:val="Body Text 2"/>
    <w:basedOn w:val="Normln"/>
    <w:semiHidden/>
    <w:rsid w:val="00794E4C"/>
    <w:pPr>
      <w:spacing w:after="120" w:line="480" w:lineRule="auto"/>
    </w:pPr>
  </w:style>
  <w:style w:type="paragraph" w:styleId="Zkladntext3">
    <w:name w:val="Body Text 3"/>
    <w:basedOn w:val="Normln"/>
    <w:semiHidden/>
    <w:rsid w:val="00794E4C"/>
    <w:pPr>
      <w:spacing w:after="120"/>
    </w:pPr>
    <w:rPr>
      <w:sz w:val="16"/>
      <w:szCs w:val="16"/>
    </w:rPr>
  </w:style>
  <w:style w:type="paragraph" w:styleId="Zkladntextodsazen2">
    <w:name w:val="Body Text Indent 2"/>
    <w:basedOn w:val="Normln"/>
    <w:semiHidden/>
    <w:rsid w:val="00794E4C"/>
    <w:pPr>
      <w:spacing w:after="120" w:line="480" w:lineRule="auto"/>
      <w:ind w:left="283"/>
    </w:pPr>
  </w:style>
  <w:style w:type="paragraph" w:styleId="Zkladntextodsazen3">
    <w:name w:val="Body Text Indent 3"/>
    <w:basedOn w:val="Normln"/>
    <w:semiHidden/>
    <w:rsid w:val="00794E4C"/>
    <w:pPr>
      <w:spacing w:after="120"/>
      <w:ind w:left="283"/>
    </w:pPr>
    <w:rPr>
      <w:sz w:val="16"/>
      <w:szCs w:val="16"/>
    </w:rPr>
  </w:style>
  <w:style w:type="paragraph" w:styleId="Zpat">
    <w:name w:val="footer"/>
    <w:basedOn w:val="Normln"/>
    <w:semiHidden/>
    <w:rsid w:val="00794E4C"/>
    <w:pPr>
      <w:tabs>
        <w:tab w:val="center" w:pos="4536"/>
        <w:tab w:val="right" w:pos="9072"/>
      </w:tabs>
    </w:pPr>
  </w:style>
  <w:style w:type="paragraph" w:styleId="Zvr">
    <w:name w:val="Closing"/>
    <w:basedOn w:val="Normln"/>
    <w:semiHidden/>
    <w:rsid w:val="00794E4C"/>
    <w:pPr>
      <w:ind w:left="4252"/>
    </w:pPr>
  </w:style>
  <w:style w:type="paragraph" w:styleId="Zptenadresanaoblku">
    <w:name w:val="envelope return"/>
    <w:basedOn w:val="Normln"/>
    <w:semiHidden/>
    <w:rsid w:val="00794E4C"/>
  </w:style>
  <w:style w:type="character" w:customStyle="1" w:styleId="Zvraznn">
    <w:name w:val="Zvýraznění"/>
    <w:qFormat/>
    <w:rsid w:val="00794E4C"/>
    <w:rPr>
      <w:i/>
      <w:iCs/>
    </w:rPr>
  </w:style>
  <w:style w:type="paragraph" w:customStyle="1" w:styleId="F-nadpis4">
    <w:name w:val="F - nadpis 4"/>
    <w:basedOn w:val="F2-zkladn"/>
    <w:next w:val="F2-zkladn"/>
    <w:rsid w:val="00C5024B"/>
    <w:pPr>
      <w:keepNext/>
      <w:keepLines/>
      <w:numPr>
        <w:ilvl w:val="3"/>
        <w:numId w:val="6"/>
      </w:numPr>
      <w:suppressAutoHyphens/>
      <w:spacing w:before="480"/>
      <w:outlineLvl w:val="3"/>
    </w:pPr>
    <w:rPr>
      <w:b/>
    </w:rPr>
  </w:style>
  <w:style w:type="table" w:customStyle="1" w:styleId="F-tabulka">
    <w:name w:val="F - tabulka"/>
    <w:basedOn w:val="Normlntabulka"/>
    <w:rsid w:val="00454D44"/>
    <w:rPr>
      <w:rFonts w:ascii="Arial" w:hAnsi="Arial" w:cs="Arial"/>
      <w:sz w:val="16"/>
    </w:rPr>
    <w:tblPr>
      <w:tblBorders>
        <w:bottom w:val="single" w:sz="12" w:space="0" w:color="000080"/>
      </w:tblBorders>
      <w:tblCellMar>
        <w:left w:w="68" w:type="dxa"/>
        <w:right w:w="68" w:type="dxa"/>
      </w:tblCellMar>
    </w:tblPr>
    <w:tcPr>
      <w:shd w:val="clear" w:color="auto" w:fill="auto"/>
    </w:tcPr>
    <w:tblStylePr w:type="firstRow">
      <w:rPr>
        <w:b/>
      </w:rPr>
      <w:tblPr/>
      <w:trPr>
        <w:tblHeader/>
      </w:trPr>
      <w:tcPr>
        <w:tcBorders>
          <w:top w:val="nil"/>
          <w:left w:val="nil"/>
          <w:bottom w:val="nil"/>
          <w:right w:val="nil"/>
          <w:insideH w:val="nil"/>
          <w:insideV w:val="nil"/>
          <w:tl2br w:val="nil"/>
          <w:tr2bl w:val="nil"/>
        </w:tcBorders>
        <w:shd w:val="clear" w:color="auto" w:fill="000080"/>
      </w:tcPr>
    </w:tblStylePr>
    <w:tblStylePr w:type="firstCol">
      <w:pPr>
        <w:jc w:val="left"/>
      </w:pPr>
    </w:tblStylePr>
  </w:style>
  <w:style w:type="paragraph" w:customStyle="1" w:styleId="F-nadpis5">
    <w:name w:val="F - nadpis 5"/>
    <w:basedOn w:val="F2-zkladn"/>
    <w:next w:val="F2-zkladn"/>
    <w:rsid w:val="009145F6"/>
    <w:pPr>
      <w:keepNext/>
      <w:keepLines/>
      <w:tabs>
        <w:tab w:val="left" w:pos="794"/>
      </w:tabs>
      <w:suppressAutoHyphens/>
      <w:spacing w:before="480"/>
      <w:outlineLvl w:val="4"/>
    </w:pPr>
    <w:rPr>
      <w:b/>
      <w:bCs/>
    </w:rPr>
  </w:style>
  <w:style w:type="paragraph" w:styleId="Obsah1">
    <w:name w:val="toc 1"/>
    <w:basedOn w:val="Normln"/>
    <w:next w:val="Normln"/>
    <w:autoRedefine/>
    <w:semiHidden/>
    <w:rsid w:val="001A7DE3"/>
    <w:pPr>
      <w:tabs>
        <w:tab w:val="left" w:pos="794"/>
        <w:tab w:val="right" w:leader="dot" w:pos="9072"/>
      </w:tabs>
      <w:spacing w:before="120" w:after="120" w:line="360" w:lineRule="auto"/>
      <w:ind w:left="794" w:hanging="794"/>
    </w:pPr>
    <w:rPr>
      <w:b/>
      <w:bCs/>
      <w:caps/>
      <w:noProof/>
      <w:lang w:val="de-DE"/>
    </w:rPr>
  </w:style>
  <w:style w:type="paragraph" w:styleId="Obsah2">
    <w:name w:val="toc 2"/>
    <w:basedOn w:val="Obsah1"/>
    <w:next w:val="Normln"/>
    <w:autoRedefine/>
    <w:semiHidden/>
    <w:rsid w:val="00C77777"/>
    <w:pPr>
      <w:spacing w:before="60" w:after="0" w:line="240" w:lineRule="auto"/>
    </w:pPr>
    <w:rPr>
      <w:b w:val="0"/>
      <w:caps w:val="0"/>
      <w:lang w:val="de-AT"/>
    </w:rPr>
  </w:style>
  <w:style w:type="paragraph" w:styleId="Obsah3">
    <w:name w:val="toc 3"/>
    <w:basedOn w:val="Obsah2"/>
    <w:next w:val="Normln"/>
    <w:autoRedefine/>
    <w:semiHidden/>
    <w:rsid w:val="00C77777"/>
    <w:pPr>
      <w:spacing w:before="0"/>
    </w:pPr>
  </w:style>
  <w:style w:type="paragraph" w:styleId="Textpoznpodarou">
    <w:name w:val="footnote text"/>
    <w:basedOn w:val="F-poznmkapodarou"/>
    <w:next w:val="F-poznmkapodarou"/>
    <w:link w:val="TextpoznpodarouChar"/>
    <w:uiPriority w:val="99"/>
    <w:semiHidden/>
    <w:rsid w:val="004202CB"/>
  </w:style>
  <w:style w:type="character" w:styleId="Znakapoznpodarou">
    <w:name w:val="footnote reference"/>
    <w:uiPriority w:val="99"/>
    <w:semiHidden/>
    <w:rsid w:val="009145F6"/>
    <w:rPr>
      <w:vertAlign w:val="superscript"/>
    </w:rPr>
  </w:style>
  <w:style w:type="paragraph" w:customStyle="1" w:styleId="F-zpat">
    <w:name w:val="F - zápatí"/>
    <w:basedOn w:val="F2-zkladn"/>
    <w:link w:val="F-zpatCharChar"/>
    <w:rsid w:val="00C941AD"/>
    <w:pPr>
      <w:spacing w:before="0" w:line="200" w:lineRule="exact"/>
      <w:jc w:val="center"/>
    </w:pPr>
    <w:rPr>
      <w:sz w:val="16"/>
      <w:szCs w:val="16"/>
    </w:rPr>
  </w:style>
  <w:style w:type="character" w:customStyle="1" w:styleId="F2-zkladnCharChar">
    <w:name w:val="F2 - základní Char Char"/>
    <w:link w:val="F2-zkladn"/>
    <w:rsid w:val="00D74098"/>
    <w:rPr>
      <w:rFonts w:ascii="Arial" w:hAnsi="Arial" w:cs="Arial"/>
      <w:lang w:val="cs-CZ" w:eastAsia="cs-CZ" w:bidi="ar-SA"/>
    </w:rPr>
  </w:style>
  <w:style w:type="character" w:customStyle="1" w:styleId="F-zpatCharChar">
    <w:name w:val="F - zápatí Char Char"/>
    <w:link w:val="F-zpat"/>
    <w:rsid w:val="00E71F11"/>
    <w:rPr>
      <w:rFonts w:ascii="Arial" w:hAnsi="Arial" w:cs="Arial"/>
      <w:sz w:val="16"/>
      <w:szCs w:val="16"/>
      <w:lang w:val="cs-CZ" w:eastAsia="cs-CZ" w:bidi="ar-SA"/>
    </w:rPr>
  </w:style>
  <w:style w:type="paragraph" w:customStyle="1" w:styleId="F-poznmkapodarou">
    <w:name w:val="F - poznámka pod čarou"/>
    <w:basedOn w:val="F-zpat"/>
    <w:rsid w:val="009145F6"/>
    <w:pPr>
      <w:jc w:val="left"/>
    </w:pPr>
  </w:style>
  <w:style w:type="paragraph" w:customStyle="1" w:styleId="F-zdroj">
    <w:name w:val="F - zdroj"/>
    <w:basedOn w:val="F2-zkladn"/>
    <w:next w:val="F2-zkladn"/>
    <w:rsid w:val="00040CE8"/>
    <w:pPr>
      <w:spacing w:before="60" w:line="200" w:lineRule="exact"/>
    </w:pPr>
    <w:rPr>
      <w:i/>
      <w:sz w:val="16"/>
    </w:rPr>
  </w:style>
  <w:style w:type="paragraph" w:customStyle="1" w:styleId="F-titul">
    <w:name w:val="F - titul"/>
    <w:basedOn w:val="F2-zkladn"/>
    <w:next w:val="F2-zkladn"/>
    <w:rsid w:val="00D32759"/>
    <w:pPr>
      <w:keepNext/>
      <w:keepLines/>
      <w:suppressAutoHyphens/>
      <w:spacing w:before="480" w:line="400" w:lineRule="exact"/>
    </w:pPr>
    <w:rPr>
      <w:b/>
      <w:sz w:val="32"/>
    </w:rPr>
  </w:style>
  <w:style w:type="paragraph" w:styleId="Obsah4">
    <w:name w:val="toc 4"/>
    <w:basedOn w:val="Obsah3"/>
    <w:next w:val="Normln"/>
    <w:autoRedefine/>
    <w:semiHidden/>
    <w:rsid w:val="00C77777"/>
  </w:style>
  <w:style w:type="paragraph" w:styleId="Obsah5">
    <w:name w:val="toc 5"/>
    <w:basedOn w:val="Normln"/>
    <w:next w:val="Normln"/>
    <w:autoRedefine/>
    <w:semiHidden/>
    <w:rsid w:val="00C77777"/>
    <w:pPr>
      <w:tabs>
        <w:tab w:val="left" w:pos="794"/>
        <w:tab w:val="right" w:leader="dot" w:pos="9060"/>
      </w:tabs>
      <w:ind w:left="794"/>
    </w:pPr>
  </w:style>
  <w:style w:type="paragraph" w:customStyle="1" w:styleId="F2Alt-texttabulky">
    <w:name w:val="F2+Alt - text tabulky"/>
    <w:basedOn w:val="F2-zkladn"/>
    <w:rsid w:val="00920F36"/>
    <w:pPr>
      <w:widowControl w:val="0"/>
      <w:suppressAutoHyphens/>
      <w:spacing w:before="40" w:after="40" w:line="240" w:lineRule="auto"/>
      <w:jc w:val="left"/>
    </w:pPr>
    <w:rPr>
      <w:sz w:val="16"/>
      <w:szCs w:val="16"/>
    </w:rPr>
  </w:style>
  <w:style w:type="paragraph" w:styleId="Textbubliny">
    <w:name w:val="Balloon Text"/>
    <w:basedOn w:val="Normln"/>
    <w:link w:val="TextbublinyChar"/>
    <w:rsid w:val="00E14EC2"/>
    <w:pPr>
      <w:spacing w:before="0" w:line="240" w:lineRule="auto"/>
    </w:pPr>
    <w:rPr>
      <w:rFonts w:ascii="Tahoma" w:hAnsi="Tahoma" w:cs="Times New Roman"/>
      <w:sz w:val="16"/>
      <w:szCs w:val="16"/>
    </w:rPr>
  </w:style>
  <w:style w:type="character" w:customStyle="1" w:styleId="TextbublinyChar">
    <w:name w:val="Text bubliny Char"/>
    <w:link w:val="Textbubliny"/>
    <w:rsid w:val="00E14EC2"/>
    <w:rPr>
      <w:rFonts w:ascii="Tahoma" w:hAnsi="Tahoma" w:cs="Tahoma"/>
      <w:sz w:val="16"/>
      <w:szCs w:val="16"/>
    </w:rPr>
  </w:style>
  <w:style w:type="character" w:styleId="Odkaznakoment">
    <w:name w:val="annotation reference"/>
    <w:uiPriority w:val="99"/>
    <w:rsid w:val="00B839BA"/>
    <w:rPr>
      <w:sz w:val="16"/>
      <w:szCs w:val="16"/>
    </w:rPr>
  </w:style>
  <w:style w:type="paragraph" w:styleId="Textkomente">
    <w:name w:val="annotation text"/>
    <w:basedOn w:val="Normln"/>
    <w:link w:val="TextkomenteChar"/>
    <w:rsid w:val="00B839BA"/>
    <w:rPr>
      <w:rFonts w:cs="Times New Roman"/>
    </w:rPr>
  </w:style>
  <w:style w:type="character" w:customStyle="1" w:styleId="TextkomenteChar">
    <w:name w:val="Text komentáře Char"/>
    <w:link w:val="Textkomente"/>
    <w:rsid w:val="00B839BA"/>
    <w:rPr>
      <w:rFonts w:ascii="Arial" w:hAnsi="Arial" w:cs="Arial"/>
    </w:rPr>
  </w:style>
  <w:style w:type="paragraph" w:styleId="Pedmtkomente">
    <w:name w:val="annotation subject"/>
    <w:basedOn w:val="Textkomente"/>
    <w:next w:val="Textkomente"/>
    <w:link w:val="PedmtkomenteChar"/>
    <w:rsid w:val="00B839BA"/>
    <w:rPr>
      <w:b/>
      <w:bCs/>
    </w:rPr>
  </w:style>
  <w:style w:type="character" w:customStyle="1" w:styleId="PedmtkomenteChar">
    <w:name w:val="Předmět komentáře Char"/>
    <w:link w:val="Pedmtkomente"/>
    <w:rsid w:val="00B839BA"/>
    <w:rPr>
      <w:rFonts w:ascii="Arial" w:hAnsi="Arial" w:cs="Arial"/>
      <w:b/>
      <w:bCs/>
    </w:rPr>
  </w:style>
  <w:style w:type="character" w:customStyle="1" w:styleId="FormtovanvHTMLChar">
    <w:name w:val="Formátovaný v HTML Char"/>
    <w:link w:val="FormtovanvHTML"/>
    <w:uiPriority w:val="99"/>
    <w:rsid w:val="0043115E"/>
    <w:rPr>
      <w:rFonts w:ascii="Courier New" w:hAnsi="Courier New" w:cs="Courier New"/>
    </w:rPr>
  </w:style>
  <w:style w:type="character" w:customStyle="1" w:styleId="Nevyeenzmnka1">
    <w:name w:val="Nevyřešená zmínka1"/>
    <w:uiPriority w:val="99"/>
    <w:semiHidden/>
    <w:unhideWhenUsed/>
    <w:rsid w:val="00A7414F"/>
    <w:rPr>
      <w:color w:val="605E5C"/>
      <w:shd w:val="clear" w:color="auto" w:fill="E1DFDD"/>
    </w:rPr>
  </w:style>
  <w:style w:type="paragraph" w:styleId="Odstavecseseznamem">
    <w:name w:val="List Paragraph"/>
    <w:aliases w:val="List Level 1,PRI Bullets,Bullet Paragraph,References,маркированный,Main numbered paragraph,Question"/>
    <w:basedOn w:val="Normln"/>
    <w:link w:val="OdstavecseseznamemChar"/>
    <w:uiPriority w:val="34"/>
    <w:qFormat/>
    <w:rsid w:val="00B93072"/>
    <w:pPr>
      <w:ind w:left="720"/>
      <w:contextualSpacing/>
    </w:pPr>
  </w:style>
  <w:style w:type="character" w:customStyle="1" w:styleId="NzevChar">
    <w:name w:val="Název Char"/>
    <w:basedOn w:val="Standardnpsmoodstavce"/>
    <w:link w:val="Nzev"/>
    <w:uiPriority w:val="10"/>
    <w:rsid w:val="007238DA"/>
    <w:rPr>
      <w:rFonts w:ascii="Arial" w:hAnsi="Arial" w:cs="Arial"/>
      <w:b/>
      <w:bCs/>
      <w:kern w:val="28"/>
      <w:sz w:val="32"/>
      <w:szCs w:val="32"/>
    </w:rPr>
  </w:style>
  <w:style w:type="paragraph" w:styleId="Revize">
    <w:name w:val="Revision"/>
    <w:hidden/>
    <w:uiPriority w:val="99"/>
    <w:semiHidden/>
    <w:rsid w:val="00DE5661"/>
    <w:rPr>
      <w:rFonts w:ascii="Arial" w:hAnsi="Arial" w:cs="Arial"/>
    </w:rPr>
  </w:style>
  <w:style w:type="character" w:customStyle="1" w:styleId="Nevyeenzmnka2">
    <w:name w:val="Nevyřešená zmínka2"/>
    <w:basedOn w:val="Standardnpsmoodstavce"/>
    <w:uiPriority w:val="99"/>
    <w:semiHidden/>
    <w:unhideWhenUsed/>
    <w:rsid w:val="00431E52"/>
    <w:rPr>
      <w:color w:val="605E5C"/>
      <w:shd w:val="clear" w:color="auto" w:fill="E1DFDD"/>
    </w:rPr>
  </w:style>
  <w:style w:type="paragraph" w:customStyle="1" w:styleId="FIL3Body">
    <w:name w:val="FIL_3_Body"/>
    <w:basedOn w:val="Normln"/>
    <w:qFormat/>
    <w:rsid w:val="00611687"/>
    <w:pPr>
      <w:spacing w:before="45" w:after="120" w:line="276" w:lineRule="auto"/>
      <w:jc w:val="left"/>
    </w:pPr>
    <w:rPr>
      <w:rFonts w:cs="Times New Roman"/>
      <w:color w:val="555555"/>
      <w:sz w:val="18"/>
      <w:szCs w:val="24"/>
      <w:lang w:val="en-GB" w:eastAsia="en-GB"/>
    </w:rPr>
  </w:style>
  <w:style w:type="paragraph" w:customStyle="1" w:styleId="f2-zkladn0">
    <w:name w:val="f2-zkladn"/>
    <w:basedOn w:val="Normln"/>
    <w:rsid w:val="00D404D5"/>
    <w:pPr>
      <w:spacing w:before="100" w:beforeAutospacing="1" w:after="100" w:afterAutospacing="1" w:line="240" w:lineRule="auto"/>
      <w:jc w:val="left"/>
    </w:pPr>
    <w:rPr>
      <w:rFonts w:ascii="Times New Roman" w:hAnsi="Times New Roman" w:cs="Times New Roman"/>
      <w:sz w:val="24"/>
      <w:szCs w:val="24"/>
    </w:rPr>
  </w:style>
  <w:style w:type="paragraph" w:customStyle="1" w:styleId="body-l">
    <w:name w:val="body-l"/>
    <w:basedOn w:val="Normln"/>
    <w:rsid w:val="0057387E"/>
    <w:pPr>
      <w:spacing w:before="100" w:beforeAutospacing="1" w:after="100" w:afterAutospacing="1" w:line="240" w:lineRule="auto"/>
      <w:jc w:val="left"/>
    </w:pPr>
    <w:rPr>
      <w:rFonts w:ascii="Times New Roman" w:hAnsi="Times New Roman" w:cs="Times New Roman"/>
      <w:sz w:val="24"/>
      <w:szCs w:val="24"/>
    </w:rPr>
  </w:style>
  <w:style w:type="paragraph" w:customStyle="1" w:styleId="paragraph">
    <w:name w:val="paragraph"/>
    <w:basedOn w:val="Normln"/>
    <w:rsid w:val="006B6F61"/>
    <w:pPr>
      <w:spacing w:before="100" w:beforeAutospacing="1" w:after="100" w:afterAutospacing="1" w:line="240" w:lineRule="auto"/>
      <w:jc w:val="left"/>
    </w:pPr>
    <w:rPr>
      <w:rFonts w:ascii="Times New Roman" w:hAnsi="Times New Roman" w:cs="Times New Roman"/>
      <w:sz w:val="24"/>
      <w:szCs w:val="24"/>
      <w:lang w:val="en-GB" w:eastAsia="zh-CN"/>
    </w:rPr>
  </w:style>
  <w:style w:type="character" w:customStyle="1" w:styleId="normaltextrun">
    <w:name w:val="normaltextrun"/>
    <w:basedOn w:val="Standardnpsmoodstavce"/>
    <w:rsid w:val="006B6F61"/>
  </w:style>
  <w:style w:type="character" w:customStyle="1" w:styleId="eop">
    <w:name w:val="eop"/>
    <w:basedOn w:val="Standardnpsmoodstavce"/>
    <w:rsid w:val="006B6F61"/>
  </w:style>
  <w:style w:type="paragraph" w:customStyle="1" w:styleId="xmsonormal">
    <w:name w:val="x_msonormal"/>
    <w:basedOn w:val="Normln"/>
    <w:rsid w:val="00A82114"/>
    <w:pPr>
      <w:spacing w:before="0" w:line="240" w:lineRule="auto"/>
      <w:jc w:val="left"/>
    </w:pPr>
    <w:rPr>
      <w:rFonts w:ascii="Calibri" w:eastAsia="Gulim" w:hAnsi="Calibri" w:cs="Calibri"/>
      <w:sz w:val="22"/>
      <w:szCs w:val="22"/>
      <w:lang w:val="en-GB" w:eastAsia="ko-KR"/>
    </w:rPr>
  </w:style>
  <w:style w:type="character" w:customStyle="1" w:styleId="OdstavecseseznamemChar">
    <w:name w:val="Odstavec se seznamem Char"/>
    <w:aliases w:val="List Level 1 Char,PRI Bullets Char,Bullet Paragraph Char,References Char,маркированный Char,Main numbered paragraph Char,Question Char"/>
    <w:link w:val="Odstavecseseznamem"/>
    <w:uiPriority w:val="34"/>
    <w:locked/>
    <w:rsid w:val="00A82114"/>
    <w:rPr>
      <w:rFonts w:ascii="Arial" w:hAnsi="Arial" w:cs="Arial"/>
    </w:rPr>
  </w:style>
  <w:style w:type="character" w:customStyle="1" w:styleId="ui-provider">
    <w:name w:val="ui-provider"/>
    <w:basedOn w:val="Standardnpsmoodstavce"/>
    <w:rsid w:val="00EB5B49"/>
  </w:style>
  <w:style w:type="character" w:customStyle="1" w:styleId="Nevyeenzmnka3">
    <w:name w:val="Nevyřešená zmínka3"/>
    <w:basedOn w:val="Standardnpsmoodstavce"/>
    <w:uiPriority w:val="99"/>
    <w:semiHidden/>
    <w:unhideWhenUsed/>
    <w:rsid w:val="00AB759C"/>
    <w:rPr>
      <w:color w:val="605E5C"/>
      <w:shd w:val="clear" w:color="auto" w:fill="E1DFDD"/>
    </w:rPr>
  </w:style>
  <w:style w:type="character" w:customStyle="1" w:styleId="TextpoznpodarouChar">
    <w:name w:val="Text pozn. pod čarou Char"/>
    <w:basedOn w:val="Standardnpsmoodstavce"/>
    <w:link w:val="Textpoznpodarou"/>
    <w:uiPriority w:val="99"/>
    <w:semiHidden/>
    <w:rsid w:val="00EF3AB4"/>
    <w:rPr>
      <w:rFonts w:ascii="Arial" w:hAnsi="Arial" w:cs="Arial"/>
      <w:sz w:val="16"/>
      <w:szCs w:val="16"/>
    </w:rPr>
  </w:style>
  <w:style w:type="character" w:customStyle="1" w:styleId="cf01">
    <w:name w:val="cf01"/>
    <w:basedOn w:val="Standardnpsmoodstavce"/>
    <w:rsid w:val="00EF3AB4"/>
    <w:rPr>
      <w:rFonts w:ascii="Segoe UI" w:hAnsi="Segoe UI" w:cs="Segoe UI" w:hint="default"/>
      <w:sz w:val="18"/>
      <w:szCs w:val="18"/>
    </w:rPr>
  </w:style>
  <w:style w:type="character" w:styleId="Nevyeenzmnka">
    <w:name w:val="Unresolved Mention"/>
    <w:basedOn w:val="Standardnpsmoodstavce"/>
    <w:uiPriority w:val="99"/>
    <w:semiHidden/>
    <w:unhideWhenUsed/>
    <w:rsid w:val="008843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00215">
      <w:bodyDiv w:val="1"/>
      <w:marLeft w:val="0"/>
      <w:marRight w:val="0"/>
      <w:marTop w:val="0"/>
      <w:marBottom w:val="0"/>
      <w:divBdr>
        <w:top w:val="none" w:sz="0" w:space="0" w:color="auto"/>
        <w:left w:val="none" w:sz="0" w:space="0" w:color="auto"/>
        <w:bottom w:val="none" w:sz="0" w:space="0" w:color="auto"/>
        <w:right w:val="none" w:sz="0" w:space="0" w:color="auto"/>
      </w:divBdr>
    </w:div>
    <w:div w:id="26224290">
      <w:bodyDiv w:val="1"/>
      <w:marLeft w:val="0"/>
      <w:marRight w:val="0"/>
      <w:marTop w:val="0"/>
      <w:marBottom w:val="0"/>
      <w:divBdr>
        <w:top w:val="none" w:sz="0" w:space="0" w:color="auto"/>
        <w:left w:val="none" w:sz="0" w:space="0" w:color="auto"/>
        <w:bottom w:val="none" w:sz="0" w:space="0" w:color="auto"/>
        <w:right w:val="none" w:sz="0" w:space="0" w:color="auto"/>
      </w:divBdr>
    </w:div>
    <w:div w:id="32000940">
      <w:bodyDiv w:val="1"/>
      <w:marLeft w:val="0"/>
      <w:marRight w:val="0"/>
      <w:marTop w:val="0"/>
      <w:marBottom w:val="0"/>
      <w:divBdr>
        <w:top w:val="none" w:sz="0" w:space="0" w:color="auto"/>
        <w:left w:val="none" w:sz="0" w:space="0" w:color="auto"/>
        <w:bottom w:val="none" w:sz="0" w:space="0" w:color="auto"/>
        <w:right w:val="none" w:sz="0" w:space="0" w:color="auto"/>
      </w:divBdr>
    </w:div>
    <w:div w:id="47845716">
      <w:bodyDiv w:val="1"/>
      <w:marLeft w:val="0"/>
      <w:marRight w:val="0"/>
      <w:marTop w:val="0"/>
      <w:marBottom w:val="0"/>
      <w:divBdr>
        <w:top w:val="none" w:sz="0" w:space="0" w:color="auto"/>
        <w:left w:val="none" w:sz="0" w:space="0" w:color="auto"/>
        <w:bottom w:val="none" w:sz="0" w:space="0" w:color="auto"/>
        <w:right w:val="none" w:sz="0" w:space="0" w:color="auto"/>
      </w:divBdr>
    </w:div>
    <w:div w:id="93790362">
      <w:bodyDiv w:val="1"/>
      <w:marLeft w:val="0"/>
      <w:marRight w:val="0"/>
      <w:marTop w:val="0"/>
      <w:marBottom w:val="0"/>
      <w:divBdr>
        <w:top w:val="none" w:sz="0" w:space="0" w:color="auto"/>
        <w:left w:val="none" w:sz="0" w:space="0" w:color="auto"/>
        <w:bottom w:val="none" w:sz="0" w:space="0" w:color="auto"/>
        <w:right w:val="none" w:sz="0" w:space="0" w:color="auto"/>
      </w:divBdr>
    </w:div>
    <w:div w:id="117335800">
      <w:bodyDiv w:val="1"/>
      <w:marLeft w:val="0"/>
      <w:marRight w:val="0"/>
      <w:marTop w:val="0"/>
      <w:marBottom w:val="0"/>
      <w:divBdr>
        <w:top w:val="none" w:sz="0" w:space="0" w:color="auto"/>
        <w:left w:val="none" w:sz="0" w:space="0" w:color="auto"/>
        <w:bottom w:val="none" w:sz="0" w:space="0" w:color="auto"/>
        <w:right w:val="none" w:sz="0" w:space="0" w:color="auto"/>
      </w:divBdr>
    </w:div>
    <w:div w:id="130027365">
      <w:bodyDiv w:val="1"/>
      <w:marLeft w:val="0"/>
      <w:marRight w:val="0"/>
      <w:marTop w:val="0"/>
      <w:marBottom w:val="0"/>
      <w:divBdr>
        <w:top w:val="none" w:sz="0" w:space="0" w:color="auto"/>
        <w:left w:val="none" w:sz="0" w:space="0" w:color="auto"/>
        <w:bottom w:val="none" w:sz="0" w:space="0" w:color="auto"/>
        <w:right w:val="none" w:sz="0" w:space="0" w:color="auto"/>
      </w:divBdr>
    </w:div>
    <w:div w:id="171918904">
      <w:bodyDiv w:val="1"/>
      <w:marLeft w:val="0"/>
      <w:marRight w:val="0"/>
      <w:marTop w:val="0"/>
      <w:marBottom w:val="0"/>
      <w:divBdr>
        <w:top w:val="none" w:sz="0" w:space="0" w:color="auto"/>
        <w:left w:val="none" w:sz="0" w:space="0" w:color="auto"/>
        <w:bottom w:val="none" w:sz="0" w:space="0" w:color="auto"/>
        <w:right w:val="none" w:sz="0" w:space="0" w:color="auto"/>
      </w:divBdr>
    </w:div>
    <w:div w:id="196479142">
      <w:bodyDiv w:val="1"/>
      <w:marLeft w:val="0"/>
      <w:marRight w:val="0"/>
      <w:marTop w:val="0"/>
      <w:marBottom w:val="0"/>
      <w:divBdr>
        <w:top w:val="none" w:sz="0" w:space="0" w:color="auto"/>
        <w:left w:val="none" w:sz="0" w:space="0" w:color="auto"/>
        <w:bottom w:val="none" w:sz="0" w:space="0" w:color="auto"/>
        <w:right w:val="none" w:sz="0" w:space="0" w:color="auto"/>
      </w:divBdr>
    </w:div>
    <w:div w:id="198670851">
      <w:bodyDiv w:val="1"/>
      <w:marLeft w:val="0"/>
      <w:marRight w:val="0"/>
      <w:marTop w:val="0"/>
      <w:marBottom w:val="0"/>
      <w:divBdr>
        <w:top w:val="none" w:sz="0" w:space="0" w:color="auto"/>
        <w:left w:val="none" w:sz="0" w:space="0" w:color="auto"/>
        <w:bottom w:val="none" w:sz="0" w:space="0" w:color="auto"/>
        <w:right w:val="none" w:sz="0" w:space="0" w:color="auto"/>
      </w:divBdr>
    </w:div>
    <w:div w:id="226259287">
      <w:bodyDiv w:val="1"/>
      <w:marLeft w:val="0"/>
      <w:marRight w:val="0"/>
      <w:marTop w:val="0"/>
      <w:marBottom w:val="0"/>
      <w:divBdr>
        <w:top w:val="none" w:sz="0" w:space="0" w:color="auto"/>
        <w:left w:val="none" w:sz="0" w:space="0" w:color="auto"/>
        <w:bottom w:val="none" w:sz="0" w:space="0" w:color="auto"/>
        <w:right w:val="none" w:sz="0" w:space="0" w:color="auto"/>
      </w:divBdr>
    </w:div>
    <w:div w:id="229002302">
      <w:bodyDiv w:val="1"/>
      <w:marLeft w:val="0"/>
      <w:marRight w:val="0"/>
      <w:marTop w:val="0"/>
      <w:marBottom w:val="0"/>
      <w:divBdr>
        <w:top w:val="none" w:sz="0" w:space="0" w:color="auto"/>
        <w:left w:val="none" w:sz="0" w:space="0" w:color="auto"/>
        <w:bottom w:val="none" w:sz="0" w:space="0" w:color="auto"/>
        <w:right w:val="none" w:sz="0" w:space="0" w:color="auto"/>
      </w:divBdr>
    </w:div>
    <w:div w:id="259224303">
      <w:bodyDiv w:val="1"/>
      <w:marLeft w:val="0"/>
      <w:marRight w:val="0"/>
      <w:marTop w:val="0"/>
      <w:marBottom w:val="0"/>
      <w:divBdr>
        <w:top w:val="none" w:sz="0" w:space="0" w:color="auto"/>
        <w:left w:val="none" w:sz="0" w:space="0" w:color="auto"/>
        <w:bottom w:val="none" w:sz="0" w:space="0" w:color="auto"/>
        <w:right w:val="none" w:sz="0" w:space="0" w:color="auto"/>
      </w:divBdr>
    </w:div>
    <w:div w:id="269316379">
      <w:bodyDiv w:val="1"/>
      <w:marLeft w:val="0"/>
      <w:marRight w:val="0"/>
      <w:marTop w:val="0"/>
      <w:marBottom w:val="0"/>
      <w:divBdr>
        <w:top w:val="none" w:sz="0" w:space="0" w:color="auto"/>
        <w:left w:val="none" w:sz="0" w:space="0" w:color="auto"/>
        <w:bottom w:val="none" w:sz="0" w:space="0" w:color="auto"/>
        <w:right w:val="none" w:sz="0" w:space="0" w:color="auto"/>
      </w:divBdr>
    </w:div>
    <w:div w:id="305555488">
      <w:bodyDiv w:val="1"/>
      <w:marLeft w:val="0"/>
      <w:marRight w:val="0"/>
      <w:marTop w:val="0"/>
      <w:marBottom w:val="0"/>
      <w:divBdr>
        <w:top w:val="none" w:sz="0" w:space="0" w:color="auto"/>
        <w:left w:val="none" w:sz="0" w:space="0" w:color="auto"/>
        <w:bottom w:val="none" w:sz="0" w:space="0" w:color="auto"/>
        <w:right w:val="none" w:sz="0" w:space="0" w:color="auto"/>
      </w:divBdr>
    </w:div>
    <w:div w:id="341783882">
      <w:bodyDiv w:val="1"/>
      <w:marLeft w:val="0"/>
      <w:marRight w:val="0"/>
      <w:marTop w:val="0"/>
      <w:marBottom w:val="0"/>
      <w:divBdr>
        <w:top w:val="none" w:sz="0" w:space="0" w:color="auto"/>
        <w:left w:val="none" w:sz="0" w:space="0" w:color="auto"/>
        <w:bottom w:val="none" w:sz="0" w:space="0" w:color="auto"/>
        <w:right w:val="none" w:sz="0" w:space="0" w:color="auto"/>
      </w:divBdr>
    </w:div>
    <w:div w:id="346177067">
      <w:bodyDiv w:val="1"/>
      <w:marLeft w:val="0"/>
      <w:marRight w:val="0"/>
      <w:marTop w:val="0"/>
      <w:marBottom w:val="0"/>
      <w:divBdr>
        <w:top w:val="none" w:sz="0" w:space="0" w:color="auto"/>
        <w:left w:val="none" w:sz="0" w:space="0" w:color="auto"/>
        <w:bottom w:val="none" w:sz="0" w:space="0" w:color="auto"/>
        <w:right w:val="none" w:sz="0" w:space="0" w:color="auto"/>
      </w:divBdr>
    </w:div>
    <w:div w:id="349262461">
      <w:bodyDiv w:val="1"/>
      <w:marLeft w:val="0"/>
      <w:marRight w:val="0"/>
      <w:marTop w:val="0"/>
      <w:marBottom w:val="0"/>
      <w:divBdr>
        <w:top w:val="none" w:sz="0" w:space="0" w:color="auto"/>
        <w:left w:val="none" w:sz="0" w:space="0" w:color="auto"/>
        <w:bottom w:val="none" w:sz="0" w:space="0" w:color="auto"/>
        <w:right w:val="none" w:sz="0" w:space="0" w:color="auto"/>
      </w:divBdr>
    </w:div>
    <w:div w:id="358316845">
      <w:bodyDiv w:val="1"/>
      <w:marLeft w:val="0"/>
      <w:marRight w:val="0"/>
      <w:marTop w:val="0"/>
      <w:marBottom w:val="0"/>
      <w:divBdr>
        <w:top w:val="none" w:sz="0" w:space="0" w:color="auto"/>
        <w:left w:val="none" w:sz="0" w:space="0" w:color="auto"/>
        <w:bottom w:val="none" w:sz="0" w:space="0" w:color="auto"/>
        <w:right w:val="none" w:sz="0" w:space="0" w:color="auto"/>
      </w:divBdr>
    </w:div>
    <w:div w:id="399639357">
      <w:bodyDiv w:val="1"/>
      <w:marLeft w:val="0"/>
      <w:marRight w:val="0"/>
      <w:marTop w:val="0"/>
      <w:marBottom w:val="0"/>
      <w:divBdr>
        <w:top w:val="none" w:sz="0" w:space="0" w:color="auto"/>
        <w:left w:val="none" w:sz="0" w:space="0" w:color="auto"/>
        <w:bottom w:val="none" w:sz="0" w:space="0" w:color="auto"/>
        <w:right w:val="none" w:sz="0" w:space="0" w:color="auto"/>
      </w:divBdr>
    </w:div>
    <w:div w:id="410666629">
      <w:bodyDiv w:val="1"/>
      <w:marLeft w:val="0"/>
      <w:marRight w:val="0"/>
      <w:marTop w:val="0"/>
      <w:marBottom w:val="0"/>
      <w:divBdr>
        <w:top w:val="none" w:sz="0" w:space="0" w:color="auto"/>
        <w:left w:val="none" w:sz="0" w:space="0" w:color="auto"/>
        <w:bottom w:val="none" w:sz="0" w:space="0" w:color="auto"/>
        <w:right w:val="none" w:sz="0" w:space="0" w:color="auto"/>
      </w:divBdr>
    </w:div>
    <w:div w:id="418914697">
      <w:bodyDiv w:val="1"/>
      <w:marLeft w:val="0"/>
      <w:marRight w:val="0"/>
      <w:marTop w:val="0"/>
      <w:marBottom w:val="0"/>
      <w:divBdr>
        <w:top w:val="none" w:sz="0" w:space="0" w:color="auto"/>
        <w:left w:val="none" w:sz="0" w:space="0" w:color="auto"/>
        <w:bottom w:val="none" w:sz="0" w:space="0" w:color="auto"/>
        <w:right w:val="none" w:sz="0" w:space="0" w:color="auto"/>
      </w:divBdr>
    </w:div>
    <w:div w:id="446317804">
      <w:bodyDiv w:val="1"/>
      <w:marLeft w:val="0"/>
      <w:marRight w:val="0"/>
      <w:marTop w:val="0"/>
      <w:marBottom w:val="0"/>
      <w:divBdr>
        <w:top w:val="none" w:sz="0" w:space="0" w:color="auto"/>
        <w:left w:val="none" w:sz="0" w:space="0" w:color="auto"/>
        <w:bottom w:val="none" w:sz="0" w:space="0" w:color="auto"/>
        <w:right w:val="none" w:sz="0" w:space="0" w:color="auto"/>
      </w:divBdr>
    </w:div>
    <w:div w:id="473720710">
      <w:bodyDiv w:val="1"/>
      <w:marLeft w:val="0"/>
      <w:marRight w:val="0"/>
      <w:marTop w:val="0"/>
      <w:marBottom w:val="0"/>
      <w:divBdr>
        <w:top w:val="none" w:sz="0" w:space="0" w:color="auto"/>
        <w:left w:val="none" w:sz="0" w:space="0" w:color="auto"/>
        <w:bottom w:val="none" w:sz="0" w:space="0" w:color="auto"/>
        <w:right w:val="none" w:sz="0" w:space="0" w:color="auto"/>
      </w:divBdr>
    </w:div>
    <w:div w:id="494226105">
      <w:bodyDiv w:val="1"/>
      <w:marLeft w:val="0"/>
      <w:marRight w:val="0"/>
      <w:marTop w:val="0"/>
      <w:marBottom w:val="0"/>
      <w:divBdr>
        <w:top w:val="none" w:sz="0" w:space="0" w:color="auto"/>
        <w:left w:val="none" w:sz="0" w:space="0" w:color="auto"/>
        <w:bottom w:val="none" w:sz="0" w:space="0" w:color="auto"/>
        <w:right w:val="none" w:sz="0" w:space="0" w:color="auto"/>
      </w:divBdr>
    </w:div>
    <w:div w:id="496727072">
      <w:bodyDiv w:val="1"/>
      <w:marLeft w:val="0"/>
      <w:marRight w:val="0"/>
      <w:marTop w:val="0"/>
      <w:marBottom w:val="0"/>
      <w:divBdr>
        <w:top w:val="none" w:sz="0" w:space="0" w:color="auto"/>
        <w:left w:val="none" w:sz="0" w:space="0" w:color="auto"/>
        <w:bottom w:val="none" w:sz="0" w:space="0" w:color="auto"/>
        <w:right w:val="none" w:sz="0" w:space="0" w:color="auto"/>
      </w:divBdr>
    </w:div>
    <w:div w:id="509566217">
      <w:bodyDiv w:val="1"/>
      <w:marLeft w:val="0"/>
      <w:marRight w:val="0"/>
      <w:marTop w:val="0"/>
      <w:marBottom w:val="0"/>
      <w:divBdr>
        <w:top w:val="none" w:sz="0" w:space="0" w:color="auto"/>
        <w:left w:val="none" w:sz="0" w:space="0" w:color="auto"/>
        <w:bottom w:val="none" w:sz="0" w:space="0" w:color="auto"/>
        <w:right w:val="none" w:sz="0" w:space="0" w:color="auto"/>
      </w:divBdr>
    </w:div>
    <w:div w:id="515775441">
      <w:bodyDiv w:val="1"/>
      <w:marLeft w:val="0"/>
      <w:marRight w:val="0"/>
      <w:marTop w:val="0"/>
      <w:marBottom w:val="0"/>
      <w:divBdr>
        <w:top w:val="none" w:sz="0" w:space="0" w:color="auto"/>
        <w:left w:val="none" w:sz="0" w:space="0" w:color="auto"/>
        <w:bottom w:val="none" w:sz="0" w:space="0" w:color="auto"/>
        <w:right w:val="none" w:sz="0" w:space="0" w:color="auto"/>
      </w:divBdr>
    </w:div>
    <w:div w:id="565262955">
      <w:bodyDiv w:val="1"/>
      <w:marLeft w:val="0"/>
      <w:marRight w:val="0"/>
      <w:marTop w:val="0"/>
      <w:marBottom w:val="0"/>
      <w:divBdr>
        <w:top w:val="none" w:sz="0" w:space="0" w:color="auto"/>
        <w:left w:val="none" w:sz="0" w:space="0" w:color="auto"/>
        <w:bottom w:val="none" w:sz="0" w:space="0" w:color="auto"/>
        <w:right w:val="none" w:sz="0" w:space="0" w:color="auto"/>
      </w:divBdr>
    </w:div>
    <w:div w:id="586184741">
      <w:bodyDiv w:val="1"/>
      <w:marLeft w:val="0"/>
      <w:marRight w:val="0"/>
      <w:marTop w:val="0"/>
      <w:marBottom w:val="0"/>
      <w:divBdr>
        <w:top w:val="none" w:sz="0" w:space="0" w:color="auto"/>
        <w:left w:val="none" w:sz="0" w:space="0" w:color="auto"/>
        <w:bottom w:val="none" w:sz="0" w:space="0" w:color="auto"/>
        <w:right w:val="none" w:sz="0" w:space="0" w:color="auto"/>
      </w:divBdr>
    </w:div>
    <w:div w:id="589004206">
      <w:bodyDiv w:val="1"/>
      <w:marLeft w:val="0"/>
      <w:marRight w:val="0"/>
      <w:marTop w:val="0"/>
      <w:marBottom w:val="0"/>
      <w:divBdr>
        <w:top w:val="none" w:sz="0" w:space="0" w:color="auto"/>
        <w:left w:val="none" w:sz="0" w:space="0" w:color="auto"/>
        <w:bottom w:val="none" w:sz="0" w:space="0" w:color="auto"/>
        <w:right w:val="none" w:sz="0" w:space="0" w:color="auto"/>
      </w:divBdr>
    </w:div>
    <w:div w:id="608702094">
      <w:bodyDiv w:val="1"/>
      <w:marLeft w:val="0"/>
      <w:marRight w:val="0"/>
      <w:marTop w:val="0"/>
      <w:marBottom w:val="0"/>
      <w:divBdr>
        <w:top w:val="none" w:sz="0" w:space="0" w:color="auto"/>
        <w:left w:val="none" w:sz="0" w:space="0" w:color="auto"/>
        <w:bottom w:val="none" w:sz="0" w:space="0" w:color="auto"/>
        <w:right w:val="none" w:sz="0" w:space="0" w:color="auto"/>
      </w:divBdr>
    </w:div>
    <w:div w:id="609049184">
      <w:bodyDiv w:val="1"/>
      <w:marLeft w:val="0"/>
      <w:marRight w:val="0"/>
      <w:marTop w:val="0"/>
      <w:marBottom w:val="0"/>
      <w:divBdr>
        <w:top w:val="none" w:sz="0" w:space="0" w:color="auto"/>
        <w:left w:val="none" w:sz="0" w:space="0" w:color="auto"/>
        <w:bottom w:val="none" w:sz="0" w:space="0" w:color="auto"/>
        <w:right w:val="none" w:sz="0" w:space="0" w:color="auto"/>
      </w:divBdr>
    </w:div>
    <w:div w:id="642273546">
      <w:bodyDiv w:val="1"/>
      <w:marLeft w:val="0"/>
      <w:marRight w:val="0"/>
      <w:marTop w:val="0"/>
      <w:marBottom w:val="0"/>
      <w:divBdr>
        <w:top w:val="none" w:sz="0" w:space="0" w:color="auto"/>
        <w:left w:val="none" w:sz="0" w:space="0" w:color="auto"/>
        <w:bottom w:val="none" w:sz="0" w:space="0" w:color="auto"/>
        <w:right w:val="none" w:sz="0" w:space="0" w:color="auto"/>
      </w:divBdr>
    </w:div>
    <w:div w:id="645664831">
      <w:bodyDiv w:val="1"/>
      <w:marLeft w:val="0"/>
      <w:marRight w:val="0"/>
      <w:marTop w:val="0"/>
      <w:marBottom w:val="0"/>
      <w:divBdr>
        <w:top w:val="none" w:sz="0" w:space="0" w:color="auto"/>
        <w:left w:val="none" w:sz="0" w:space="0" w:color="auto"/>
        <w:bottom w:val="none" w:sz="0" w:space="0" w:color="auto"/>
        <w:right w:val="none" w:sz="0" w:space="0" w:color="auto"/>
      </w:divBdr>
    </w:div>
    <w:div w:id="667100440">
      <w:bodyDiv w:val="1"/>
      <w:marLeft w:val="0"/>
      <w:marRight w:val="0"/>
      <w:marTop w:val="0"/>
      <w:marBottom w:val="0"/>
      <w:divBdr>
        <w:top w:val="none" w:sz="0" w:space="0" w:color="auto"/>
        <w:left w:val="none" w:sz="0" w:space="0" w:color="auto"/>
        <w:bottom w:val="none" w:sz="0" w:space="0" w:color="auto"/>
        <w:right w:val="none" w:sz="0" w:space="0" w:color="auto"/>
      </w:divBdr>
    </w:div>
    <w:div w:id="777919185">
      <w:bodyDiv w:val="1"/>
      <w:marLeft w:val="0"/>
      <w:marRight w:val="0"/>
      <w:marTop w:val="0"/>
      <w:marBottom w:val="0"/>
      <w:divBdr>
        <w:top w:val="none" w:sz="0" w:space="0" w:color="auto"/>
        <w:left w:val="none" w:sz="0" w:space="0" w:color="auto"/>
        <w:bottom w:val="none" w:sz="0" w:space="0" w:color="auto"/>
        <w:right w:val="none" w:sz="0" w:space="0" w:color="auto"/>
      </w:divBdr>
    </w:div>
    <w:div w:id="814950803">
      <w:bodyDiv w:val="1"/>
      <w:marLeft w:val="0"/>
      <w:marRight w:val="0"/>
      <w:marTop w:val="0"/>
      <w:marBottom w:val="0"/>
      <w:divBdr>
        <w:top w:val="none" w:sz="0" w:space="0" w:color="auto"/>
        <w:left w:val="none" w:sz="0" w:space="0" w:color="auto"/>
        <w:bottom w:val="none" w:sz="0" w:space="0" w:color="auto"/>
        <w:right w:val="none" w:sz="0" w:space="0" w:color="auto"/>
      </w:divBdr>
    </w:div>
    <w:div w:id="833183269">
      <w:bodyDiv w:val="1"/>
      <w:marLeft w:val="0"/>
      <w:marRight w:val="0"/>
      <w:marTop w:val="0"/>
      <w:marBottom w:val="0"/>
      <w:divBdr>
        <w:top w:val="none" w:sz="0" w:space="0" w:color="auto"/>
        <w:left w:val="none" w:sz="0" w:space="0" w:color="auto"/>
        <w:bottom w:val="none" w:sz="0" w:space="0" w:color="auto"/>
        <w:right w:val="none" w:sz="0" w:space="0" w:color="auto"/>
      </w:divBdr>
    </w:div>
    <w:div w:id="840465814">
      <w:bodyDiv w:val="1"/>
      <w:marLeft w:val="0"/>
      <w:marRight w:val="0"/>
      <w:marTop w:val="0"/>
      <w:marBottom w:val="0"/>
      <w:divBdr>
        <w:top w:val="none" w:sz="0" w:space="0" w:color="auto"/>
        <w:left w:val="none" w:sz="0" w:space="0" w:color="auto"/>
        <w:bottom w:val="none" w:sz="0" w:space="0" w:color="auto"/>
        <w:right w:val="none" w:sz="0" w:space="0" w:color="auto"/>
      </w:divBdr>
    </w:div>
    <w:div w:id="842860217">
      <w:bodyDiv w:val="1"/>
      <w:marLeft w:val="0"/>
      <w:marRight w:val="0"/>
      <w:marTop w:val="0"/>
      <w:marBottom w:val="0"/>
      <w:divBdr>
        <w:top w:val="none" w:sz="0" w:space="0" w:color="auto"/>
        <w:left w:val="none" w:sz="0" w:space="0" w:color="auto"/>
        <w:bottom w:val="none" w:sz="0" w:space="0" w:color="auto"/>
        <w:right w:val="none" w:sz="0" w:space="0" w:color="auto"/>
      </w:divBdr>
    </w:div>
    <w:div w:id="854265581">
      <w:bodyDiv w:val="1"/>
      <w:marLeft w:val="0"/>
      <w:marRight w:val="0"/>
      <w:marTop w:val="0"/>
      <w:marBottom w:val="0"/>
      <w:divBdr>
        <w:top w:val="none" w:sz="0" w:space="0" w:color="auto"/>
        <w:left w:val="none" w:sz="0" w:space="0" w:color="auto"/>
        <w:bottom w:val="none" w:sz="0" w:space="0" w:color="auto"/>
        <w:right w:val="none" w:sz="0" w:space="0" w:color="auto"/>
      </w:divBdr>
    </w:div>
    <w:div w:id="879131442">
      <w:bodyDiv w:val="1"/>
      <w:marLeft w:val="0"/>
      <w:marRight w:val="0"/>
      <w:marTop w:val="0"/>
      <w:marBottom w:val="0"/>
      <w:divBdr>
        <w:top w:val="none" w:sz="0" w:space="0" w:color="auto"/>
        <w:left w:val="none" w:sz="0" w:space="0" w:color="auto"/>
        <w:bottom w:val="none" w:sz="0" w:space="0" w:color="auto"/>
        <w:right w:val="none" w:sz="0" w:space="0" w:color="auto"/>
      </w:divBdr>
    </w:div>
    <w:div w:id="893545164">
      <w:bodyDiv w:val="1"/>
      <w:marLeft w:val="0"/>
      <w:marRight w:val="0"/>
      <w:marTop w:val="0"/>
      <w:marBottom w:val="0"/>
      <w:divBdr>
        <w:top w:val="none" w:sz="0" w:space="0" w:color="auto"/>
        <w:left w:val="none" w:sz="0" w:space="0" w:color="auto"/>
        <w:bottom w:val="none" w:sz="0" w:space="0" w:color="auto"/>
        <w:right w:val="none" w:sz="0" w:space="0" w:color="auto"/>
      </w:divBdr>
    </w:div>
    <w:div w:id="923339379">
      <w:bodyDiv w:val="1"/>
      <w:marLeft w:val="0"/>
      <w:marRight w:val="0"/>
      <w:marTop w:val="0"/>
      <w:marBottom w:val="0"/>
      <w:divBdr>
        <w:top w:val="none" w:sz="0" w:space="0" w:color="auto"/>
        <w:left w:val="none" w:sz="0" w:space="0" w:color="auto"/>
        <w:bottom w:val="none" w:sz="0" w:space="0" w:color="auto"/>
        <w:right w:val="none" w:sz="0" w:space="0" w:color="auto"/>
      </w:divBdr>
    </w:div>
    <w:div w:id="940525266">
      <w:bodyDiv w:val="1"/>
      <w:marLeft w:val="0"/>
      <w:marRight w:val="0"/>
      <w:marTop w:val="0"/>
      <w:marBottom w:val="0"/>
      <w:divBdr>
        <w:top w:val="none" w:sz="0" w:space="0" w:color="auto"/>
        <w:left w:val="none" w:sz="0" w:space="0" w:color="auto"/>
        <w:bottom w:val="none" w:sz="0" w:space="0" w:color="auto"/>
        <w:right w:val="none" w:sz="0" w:space="0" w:color="auto"/>
      </w:divBdr>
    </w:div>
    <w:div w:id="954479567">
      <w:bodyDiv w:val="1"/>
      <w:marLeft w:val="0"/>
      <w:marRight w:val="0"/>
      <w:marTop w:val="0"/>
      <w:marBottom w:val="0"/>
      <w:divBdr>
        <w:top w:val="none" w:sz="0" w:space="0" w:color="auto"/>
        <w:left w:val="none" w:sz="0" w:space="0" w:color="auto"/>
        <w:bottom w:val="none" w:sz="0" w:space="0" w:color="auto"/>
        <w:right w:val="none" w:sz="0" w:space="0" w:color="auto"/>
      </w:divBdr>
    </w:div>
    <w:div w:id="1001737816">
      <w:bodyDiv w:val="1"/>
      <w:marLeft w:val="0"/>
      <w:marRight w:val="0"/>
      <w:marTop w:val="0"/>
      <w:marBottom w:val="0"/>
      <w:divBdr>
        <w:top w:val="none" w:sz="0" w:space="0" w:color="auto"/>
        <w:left w:val="none" w:sz="0" w:space="0" w:color="auto"/>
        <w:bottom w:val="none" w:sz="0" w:space="0" w:color="auto"/>
        <w:right w:val="none" w:sz="0" w:space="0" w:color="auto"/>
      </w:divBdr>
    </w:div>
    <w:div w:id="1008564044">
      <w:bodyDiv w:val="1"/>
      <w:marLeft w:val="0"/>
      <w:marRight w:val="0"/>
      <w:marTop w:val="0"/>
      <w:marBottom w:val="0"/>
      <w:divBdr>
        <w:top w:val="none" w:sz="0" w:space="0" w:color="auto"/>
        <w:left w:val="none" w:sz="0" w:space="0" w:color="auto"/>
        <w:bottom w:val="none" w:sz="0" w:space="0" w:color="auto"/>
        <w:right w:val="none" w:sz="0" w:space="0" w:color="auto"/>
      </w:divBdr>
    </w:div>
    <w:div w:id="1019311681">
      <w:bodyDiv w:val="1"/>
      <w:marLeft w:val="0"/>
      <w:marRight w:val="0"/>
      <w:marTop w:val="0"/>
      <w:marBottom w:val="0"/>
      <w:divBdr>
        <w:top w:val="none" w:sz="0" w:space="0" w:color="auto"/>
        <w:left w:val="none" w:sz="0" w:space="0" w:color="auto"/>
        <w:bottom w:val="none" w:sz="0" w:space="0" w:color="auto"/>
        <w:right w:val="none" w:sz="0" w:space="0" w:color="auto"/>
      </w:divBdr>
    </w:div>
    <w:div w:id="1024863374">
      <w:bodyDiv w:val="1"/>
      <w:marLeft w:val="0"/>
      <w:marRight w:val="0"/>
      <w:marTop w:val="0"/>
      <w:marBottom w:val="0"/>
      <w:divBdr>
        <w:top w:val="none" w:sz="0" w:space="0" w:color="auto"/>
        <w:left w:val="none" w:sz="0" w:space="0" w:color="auto"/>
        <w:bottom w:val="none" w:sz="0" w:space="0" w:color="auto"/>
        <w:right w:val="none" w:sz="0" w:space="0" w:color="auto"/>
      </w:divBdr>
    </w:div>
    <w:div w:id="1054163630">
      <w:bodyDiv w:val="1"/>
      <w:marLeft w:val="0"/>
      <w:marRight w:val="0"/>
      <w:marTop w:val="0"/>
      <w:marBottom w:val="0"/>
      <w:divBdr>
        <w:top w:val="none" w:sz="0" w:space="0" w:color="auto"/>
        <w:left w:val="none" w:sz="0" w:space="0" w:color="auto"/>
        <w:bottom w:val="none" w:sz="0" w:space="0" w:color="auto"/>
        <w:right w:val="none" w:sz="0" w:space="0" w:color="auto"/>
      </w:divBdr>
    </w:div>
    <w:div w:id="1093746309">
      <w:bodyDiv w:val="1"/>
      <w:marLeft w:val="0"/>
      <w:marRight w:val="0"/>
      <w:marTop w:val="0"/>
      <w:marBottom w:val="0"/>
      <w:divBdr>
        <w:top w:val="none" w:sz="0" w:space="0" w:color="auto"/>
        <w:left w:val="none" w:sz="0" w:space="0" w:color="auto"/>
        <w:bottom w:val="none" w:sz="0" w:space="0" w:color="auto"/>
        <w:right w:val="none" w:sz="0" w:space="0" w:color="auto"/>
      </w:divBdr>
    </w:div>
    <w:div w:id="1123814539">
      <w:bodyDiv w:val="1"/>
      <w:marLeft w:val="0"/>
      <w:marRight w:val="0"/>
      <w:marTop w:val="0"/>
      <w:marBottom w:val="0"/>
      <w:divBdr>
        <w:top w:val="none" w:sz="0" w:space="0" w:color="auto"/>
        <w:left w:val="none" w:sz="0" w:space="0" w:color="auto"/>
        <w:bottom w:val="none" w:sz="0" w:space="0" w:color="auto"/>
        <w:right w:val="none" w:sz="0" w:space="0" w:color="auto"/>
      </w:divBdr>
    </w:div>
    <w:div w:id="1128352914">
      <w:bodyDiv w:val="1"/>
      <w:marLeft w:val="0"/>
      <w:marRight w:val="0"/>
      <w:marTop w:val="0"/>
      <w:marBottom w:val="0"/>
      <w:divBdr>
        <w:top w:val="none" w:sz="0" w:space="0" w:color="auto"/>
        <w:left w:val="none" w:sz="0" w:space="0" w:color="auto"/>
        <w:bottom w:val="none" w:sz="0" w:space="0" w:color="auto"/>
        <w:right w:val="none" w:sz="0" w:space="0" w:color="auto"/>
      </w:divBdr>
    </w:div>
    <w:div w:id="1141921708">
      <w:bodyDiv w:val="1"/>
      <w:marLeft w:val="0"/>
      <w:marRight w:val="0"/>
      <w:marTop w:val="0"/>
      <w:marBottom w:val="0"/>
      <w:divBdr>
        <w:top w:val="none" w:sz="0" w:space="0" w:color="auto"/>
        <w:left w:val="none" w:sz="0" w:space="0" w:color="auto"/>
        <w:bottom w:val="none" w:sz="0" w:space="0" w:color="auto"/>
        <w:right w:val="none" w:sz="0" w:space="0" w:color="auto"/>
      </w:divBdr>
    </w:div>
    <w:div w:id="1177961262">
      <w:bodyDiv w:val="1"/>
      <w:marLeft w:val="0"/>
      <w:marRight w:val="0"/>
      <w:marTop w:val="0"/>
      <w:marBottom w:val="0"/>
      <w:divBdr>
        <w:top w:val="none" w:sz="0" w:space="0" w:color="auto"/>
        <w:left w:val="none" w:sz="0" w:space="0" w:color="auto"/>
        <w:bottom w:val="none" w:sz="0" w:space="0" w:color="auto"/>
        <w:right w:val="none" w:sz="0" w:space="0" w:color="auto"/>
      </w:divBdr>
    </w:div>
    <w:div w:id="1180465971">
      <w:bodyDiv w:val="1"/>
      <w:marLeft w:val="0"/>
      <w:marRight w:val="0"/>
      <w:marTop w:val="0"/>
      <w:marBottom w:val="0"/>
      <w:divBdr>
        <w:top w:val="none" w:sz="0" w:space="0" w:color="auto"/>
        <w:left w:val="none" w:sz="0" w:space="0" w:color="auto"/>
        <w:bottom w:val="none" w:sz="0" w:space="0" w:color="auto"/>
        <w:right w:val="none" w:sz="0" w:space="0" w:color="auto"/>
      </w:divBdr>
    </w:div>
    <w:div w:id="1224832783">
      <w:bodyDiv w:val="1"/>
      <w:marLeft w:val="0"/>
      <w:marRight w:val="0"/>
      <w:marTop w:val="0"/>
      <w:marBottom w:val="0"/>
      <w:divBdr>
        <w:top w:val="none" w:sz="0" w:space="0" w:color="auto"/>
        <w:left w:val="none" w:sz="0" w:space="0" w:color="auto"/>
        <w:bottom w:val="none" w:sz="0" w:space="0" w:color="auto"/>
        <w:right w:val="none" w:sz="0" w:space="0" w:color="auto"/>
      </w:divBdr>
    </w:div>
    <w:div w:id="1241478248">
      <w:bodyDiv w:val="1"/>
      <w:marLeft w:val="0"/>
      <w:marRight w:val="0"/>
      <w:marTop w:val="0"/>
      <w:marBottom w:val="0"/>
      <w:divBdr>
        <w:top w:val="none" w:sz="0" w:space="0" w:color="auto"/>
        <w:left w:val="none" w:sz="0" w:space="0" w:color="auto"/>
        <w:bottom w:val="none" w:sz="0" w:space="0" w:color="auto"/>
        <w:right w:val="none" w:sz="0" w:space="0" w:color="auto"/>
      </w:divBdr>
    </w:div>
    <w:div w:id="1244293417">
      <w:bodyDiv w:val="1"/>
      <w:marLeft w:val="0"/>
      <w:marRight w:val="0"/>
      <w:marTop w:val="0"/>
      <w:marBottom w:val="0"/>
      <w:divBdr>
        <w:top w:val="none" w:sz="0" w:space="0" w:color="auto"/>
        <w:left w:val="none" w:sz="0" w:space="0" w:color="auto"/>
        <w:bottom w:val="none" w:sz="0" w:space="0" w:color="auto"/>
        <w:right w:val="none" w:sz="0" w:space="0" w:color="auto"/>
      </w:divBdr>
    </w:div>
    <w:div w:id="1259825597">
      <w:bodyDiv w:val="1"/>
      <w:marLeft w:val="0"/>
      <w:marRight w:val="0"/>
      <w:marTop w:val="0"/>
      <w:marBottom w:val="0"/>
      <w:divBdr>
        <w:top w:val="none" w:sz="0" w:space="0" w:color="auto"/>
        <w:left w:val="none" w:sz="0" w:space="0" w:color="auto"/>
        <w:bottom w:val="none" w:sz="0" w:space="0" w:color="auto"/>
        <w:right w:val="none" w:sz="0" w:space="0" w:color="auto"/>
      </w:divBdr>
    </w:div>
    <w:div w:id="1284263836">
      <w:bodyDiv w:val="1"/>
      <w:marLeft w:val="0"/>
      <w:marRight w:val="0"/>
      <w:marTop w:val="0"/>
      <w:marBottom w:val="0"/>
      <w:divBdr>
        <w:top w:val="none" w:sz="0" w:space="0" w:color="auto"/>
        <w:left w:val="none" w:sz="0" w:space="0" w:color="auto"/>
        <w:bottom w:val="none" w:sz="0" w:space="0" w:color="auto"/>
        <w:right w:val="none" w:sz="0" w:space="0" w:color="auto"/>
      </w:divBdr>
    </w:div>
    <w:div w:id="1367295729">
      <w:bodyDiv w:val="1"/>
      <w:marLeft w:val="0"/>
      <w:marRight w:val="0"/>
      <w:marTop w:val="0"/>
      <w:marBottom w:val="0"/>
      <w:divBdr>
        <w:top w:val="none" w:sz="0" w:space="0" w:color="auto"/>
        <w:left w:val="none" w:sz="0" w:space="0" w:color="auto"/>
        <w:bottom w:val="none" w:sz="0" w:space="0" w:color="auto"/>
        <w:right w:val="none" w:sz="0" w:space="0" w:color="auto"/>
      </w:divBdr>
    </w:div>
    <w:div w:id="1372611917">
      <w:bodyDiv w:val="1"/>
      <w:marLeft w:val="0"/>
      <w:marRight w:val="0"/>
      <w:marTop w:val="0"/>
      <w:marBottom w:val="0"/>
      <w:divBdr>
        <w:top w:val="none" w:sz="0" w:space="0" w:color="auto"/>
        <w:left w:val="none" w:sz="0" w:space="0" w:color="auto"/>
        <w:bottom w:val="none" w:sz="0" w:space="0" w:color="auto"/>
        <w:right w:val="none" w:sz="0" w:space="0" w:color="auto"/>
      </w:divBdr>
    </w:div>
    <w:div w:id="1376393378">
      <w:bodyDiv w:val="1"/>
      <w:marLeft w:val="0"/>
      <w:marRight w:val="0"/>
      <w:marTop w:val="0"/>
      <w:marBottom w:val="0"/>
      <w:divBdr>
        <w:top w:val="none" w:sz="0" w:space="0" w:color="auto"/>
        <w:left w:val="none" w:sz="0" w:space="0" w:color="auto"/>
        <w:bottom w:val="none" w:sz="0" w:space="0" w:color="auto"/>
        <w:right w:val="none" w:sz="0" w:space="0" w:color="auto"/>
      </w:divBdr>
    </w:div>
    <w:div w:id="1379933602">
      <w:bodyDiv w:val="1"/>
      <w:marLeft w:val="0"/>
      <w:marRight w:val="0"/>
      <w:marTop w:val="0"/>
      <w:marBottom w:val="0"/>
      <w:divBdr>
        <w:top w:val="none" w:sz="0" w:space="0" w:color="auto"/>
        <w:left w:val="none" w:sz="0" w:space="0" w:color="auto"/>
        <w:bottom w:val="none" w:sz="0" w:space="0" w:color="auto"/>
        <w:right w:val="none" w:sz="0" w:space="0" w:color="auto"/>
      </w:divBdr>
    </w:div>
    <w:div w:id="1413551838">
      <w:bodyDiv w:val="1"/>
      <w:marLeft w:val="0"/>
      <w:marRight w:val="0"/>
      <w:marTop w:val="0"/>
      <w:marBottom w:val="0"/>
      <w:divBdr>
        <w:top w:val="none" w:sz="0" w:space="0" w:color="auto"/>
        <w:left w:val="none" w:sz="0" w:space="0" w:color="auto"/>
        <w:bottom w:val="none" w:sz="0" w:space="0" w:color="auto"/>
        <w:right w:val="none" w:sz="0" w:space="0" w:color="auto"/>
      </w:divBdr>
    </w:div>
    <w:div w:id="1429038161">
      <w:bodyDiv w:val="1"/>
      <w:marLeft w:val="0"/>
      <w:marRight w:val="0"/>
      <w:marTop w:val="0"/>
      <w:marBottom w:val="0"/>
      <w:divBdr>
        <w:top w:val="none" w:sz="0" w:space="0" w:color="auto"/>
        <w:left w:val="none" w:sz="0" w:space="0" w:color="auto"/>
        <w:bottom w:val="none" w:sz="0" w:space="0" w:color="auto"/>
        <w:right w:val="none" w:sz="0" w:space="0" w:color="auto"/>
      </w:divBdr>
    </w:div>
    <w:div w:id="1429278834">
      <w:bodyDiv w:val="1"/>
      <w:marLeft w:val="0"/>
      <w:marRight w:val="0"/>
      <w:marTop w:val="0"/>
      <w:marBottom w:val="0"/>
      <w:divBdr>
        <w:top w:val="none" w:sz="0" w:space="0" w:color="auto"/>
        <w:left w:val="none" w:sz="0" w:space="0" w:color="auto"/>
        <w:bottom w:val="none" w:sz="0" w:space="0" w:color="auto"/>
        <w:right w:val="none" w:sz="0" w:space="0" w:color="auto"/>
      </w:divBdr>
    </w:div>
    <w:div w:id="1480539859">
      <w:bodyDiv w:val="1"/>
      <w:marLeft w:val="0"/>
      <w:marRight w:val="0"/>
      <w:marTop w:val="0"/>
      <w:marBottom w:val="0"/>
      <w:divBdr>
        <w:top w:val="none" w:sz="0" w:space="0" w:color="auto"/>
        <w:left w:val="none" w:sz="0" w:space="0" w:color="auto"/>
        <w:bottom w:val="none" w:sz="0" w:space="0" w:color="auto"/>
        <w:right w:val="none" w:sz="0" w:space="0" w:color="auto"/>
      </w:divBdr>
    </w:div>
    <w:div w:id="1498110780">
      <w:bodyDiv w:val="1"/>
      <w:marLeft w:val="0"/>
      <w:marRight w:val="0"/>
      <w:marTop w:val="0"/>
      <w:marBottom w:val="0"/>
      <w:divBdr>
        <w:top w:val="none" w:sz="0" w:space="0" w:color="auto"/>
        <w:left w:val="none" w:sz="0" w:space="0" w:color="auto"/>
        <w:bottom w:val="none" w:sz="0" w:space="0" w:color="auto"/>
        <w:right w:val="none" w:sz="0" w:space="0" w:color="auto"/>
      </w:divBdr>
    </w:div>
    <w:div w:id="1520391237">
      <w:bodyDiv w:val="1"/>
      <w:marLeft w:val="0"/>
      <w:marRight w:val="0"/>
      <w:marTop w:val="0"/>
      <w:marBottom w:val="0"/>
      <w:divBdr>
        <w:top w:val="none" w:sz="0" w:space="0" w:color="auto"/>
        <w:left w:val="none" w:sz="0" w:space="0" w:color="auto"/>
        <w:bottom w:val="none" w:sz="0" w:space="0" w:color="auto"/>
        <w:right w:val="none" w:sz="0" w:space="0" w:color="auto"/>
      </w:divBdr>
    </w:div>
    <w:div w:id="1532842599">
      <w:bodyDiv w:val="1"/>
      <w:marLeft w:val="0"/>
      <w:marRight w:val="0"/>
      <w:marTop w:val="0"/>
      <w:marBottom w:val="0"/>
      <w:divBdr>
        <w:top w:val="none" w:sz="0" w:space="0" w:color="auto"/>
        <w:left w:val="none" w:sz="0" w:space="0" w:color="auto"/>
        <w:bottom w:val="none" w:sz="0" w:space="0" w:color="auto"/>
        <w:right w:val="none" w:sz="0" w:space="0" w:color="auto"/>
      </w:divBdr>
    </w:div>
    <w:div w:id="1538851997">
      <w:bodyDiv w:val="1"/>
      <w:marLeft w:val="0"/>
      <w:marRight w:val="0"/>
      <w:marTop w:val="0"/>
      <w:marBottom w:val="0"/>
      <w:divBdr>
        <w:top w:val="none" w:sz="0" w:space="0" w:color="auto"/>
        <w:left w:val="none" w:sz="0" w:space="0" w:color="auto"/>
        <w:bottom w:val="none" w:sz="0" w:space="0" w:color="auto"/>
        <w:right w:val="none" w:sz="0" w:space="0" w:color="auto"/>
      </w:divBdr>
    </w:div>
    <w:div w:id="1548764254">
      <w:bodyDiv w:val="1"/>
      <w:marLeft w:val="0"/>
      <w:marRight w:val="0"/>
      <w:marTop w:val="0"/>
      <w:marBottom w:val="0"/>
      <w:divBdr>
        <w:top w:val="none" w:sz="0" w:space="0" w:color="auto"/>
        <w:left w:val="none" w:sz="0" w:space="0" w:color="auto"/>
        <w:bottom w:val="none" w:sz="0" w:space="0" w:color="auto"/>
        <w:right w:val="none" w:sz="0" w:space="0" w:color="auto"/>
      </w:divBdr>
    </w:div>
    <w:div w:id="1551921290">
      <w:bodyDiv w:val="1"/>
      <w:marLeft w:val="0"/>
      <w:marRight w:val="0"/>
      <w:marTop w:val="0"/>
      <w:marBottom w:val="0"/>
      <w:divBdr>
        <w:top w:val="none" w:sz="0" w:space="0" w:color="auto"/>
        <w:left w:val="none" w:sz="0" w:space="0" w:color="auto"/>
        <w:bottom w:val="none" w:sz="0" w:space="0" w:color="auto"/>
        <w:right w:val="none" w:sz="0" w:space="0" w:color="auto"/>
      </w:divBdr>
    </w:div>
    <w:div w:id="1557813925">
      <w:bodyDiv w:val="1"/>
      <w:marLeft w:val="0"/>
      <w:marRight w:val="0"/>
      <w:marTop w:val="0"/>
      <w:marBottom w:val="0"/>
      <w:divBdr>
        <w:top w:val="none" w:sz="0" w:space="0" w:color="auto"/>
        <w:left w:val="none" w:sz="0" w:space="0" w:color="auto"/>
        <w:bottom w:val="none" w:sz="0" w:space="0" w:color="auto"/>
        <w:right w:val="none" w:sz="0" w:space="0" w:color="auto"/>
      </w:divBdr>
    </w:div>
    <w:div w:id="1559055571">
      <w:bodyDiv w:val="1"/>
      <w:marLeft w:val="0"/>
      <w:marRight w:val="0"/>
      <w:marTop w:val="0"/>
      <w:marBottom w:val="0"/>
      <w:divBdr>
        <w:top w:val="none" w:sz="0" w:space="0" w:color="auto"/>
        <w:left w:val="none" w:sz="0" w:space="0" w:color="auto"/>
        <w:bottom w:val="none" w:sz="0" w:space="0" w:color="auto"/>
        <w:right w:val="none" w:sz="0" w:space="0" w:color="auto"/>
      </w:divBdr>
    </w:div>
    <w:div w:id="1563252699">
      <w:bodyDiv w:val="1"/>
      <w:marLeft w:val="0"/>
      <w:marRight w:val="0"/>
      <w:marTop w:val="0"/>
      <w:marBottom w:val="0"/>
      <w:divBdr>
        <w:top w:val="none" w:sz="0" w:space="0" w:color="auto"/>
        <w:left w:val="none" w:sz="0" w:space="0" w:color="auto"/>
        <w:bottom w:val="none" w:sz="0" w:space="0" w:color="auto"/>
        <w:right w:val="none" w:sz="0" w:space="0" w:color="auto"/>
      </w:divBdr>
    </w:div>
    <w:div w:id="1569225950">
      <w:bodyDiv w:val="1"/>
      <w:marLeft w:val="0"/>
      <w:marRight w:val="0"/>
      <w:marTop w:val="0"/>
      <w:marBottom w:val="0"/>
      <w:divBdr>
        <w:top w:val="none" w:sz="0" w:space="0" w:color="auto"/>
        <w:left w:val="none" w:sz="0" w:space="0" w:color="auto"/>
        <w:bottom w:val="none" w:sz="0" w:space="0" w:color="auto"/>
        <w:right w:val="none" w:sz="0" w:space="0" w:color="auto"/>
      </w:divBdr>
    </w:div>
    <w:div w:id="1579514735">
      <w:bodyDiv w:val="1"/>
      <w:marLeft w:val="0"/>
      <w:marRight w:val="0"/>
      <w:marTop w:val="0"/>
      <w:marBottom w:val="0"/>
      <w:divBdr>
        <w:top w:val="none" w:sz="0" w:space="0" w:color="auto"/>
        <w:left w:val="none" w:sz="0" w:space="0" w:color="auto"/>
        <w:bottom w:val="none" w:sz="0" w:space="0" w:color="auto"/>
        <w:right w:val="none" w:sz="0" w:space="0" w:color="auto"/>
      </w:divBdr>
    </w:div>
    <w:div w:id="1602956671">
      <w:bodyDiv w:val="1"/>
      <w:marLeft w:val="0"/>
      <w:marRight w:val="0"/>
      <w:marTop w:val="0"/>
      <w:marBottom w:val="0"/>
      <w:divBdr>
        <w:top w:val="none" w:sz="0" w:space="0" w:color="auto"/>
        <w:left w:val="none" w:sz="0" w:space="0" w:color="auto"/>
        <w:bottom w:val="none" w:sz="0" w:space="0" w:color="auto"/>
        <w:right w:val="none" w:sz="0" w:space="0" w:color="auto"/>
      </w:divBdr>
    </w:div>
    <w:div w:id="1609578883">
      <w:bodyDiv w:val="1"/>
      <w:marLeft w:val="0"/>
      <w:marRight w:val="0"/>
      <w:marTop w:val="0"/>
      <w:marBottom w:val="0"/>
      <w:divBdr>
        <w:top w:val="none" w:sz="0" w:space="0" w:color="auto"/>
        <w:left w:val="none" w:sz="0" w:space="0" w:color="auto"/>
        <w:bottom w:val="none" w:sz="0" w:space="0" w:color="auto"/>
        <w:right w:val="none" w:sz="0" w:space="0" w:color="auto"/>
      </w:divBdr>
    </w:div>
    <w:div w:id="1627538167">
      <w:bodyDiv w:val="1"/>
      <w:marLeft w:val="0"/>
      <w:marRight w:val="0"/>
      <w:marTop w:val="0"/>
      <w:marBottom w:val="0"/>
      <w:divBdr>
        <w:top w:val="none" w:sz="0" w:space="0" w:color="auto"/>
        <w:left w:val="none" w:sz="0" w:space="0" w:color="auto"/>
        <w:bottom w:val="none" w:sz="0" w:space="0" w:color="auto"/>
        <w:right w:val="none" w:sz="0" w:space="0" w:color="auto"/>
      </w:divBdr>
    </w:div>
    <w:div w:id="1639796397">
      <w:bodyDiv w:val="1"/>
      <w:marLeft w:val="0"/>
      <w:marRight w:val="0"/>
      <w:marTop w:val="0"/>
      <w:marBottom w:val="0"/>
      <w:divBdr>
        <w:top w:val="none" w:sz="0" w:space="0" w:color="auto"/>
        <w:left w:val="none" w:sz="0" w:space="0" w:color="auto"/>
        <w:bottom w:val="none" w:sz="0" w:space="0" w:color="auto"/>
        <w:right w:val="none" w:sz="0" w:space="0" w:color="auto"/>
      </w:divBdr>
    </w:div>
    <w:div w:id="1651204473">
      <w:bodyDiv w:val="1"/>
      <w:marLeft w:val="0"/>
      <w:marRight w:val="0"/>
      <w:marTop w:val="0"/>
      <w:marBottom w:val="0"/>
      <w:divBdr>
        <w:top w:val="none" w:sz="0" w:space="0" w:color="auto"/>
        <w:left w:val="none" w:sz="0" w:space="0" w:color="auto"/>
        <w:bottom w:val="none" w:sz="0" w:space="0" w:color="auto"/>
        <w:right w:val="none" w:sz="0" w:space="0" w:color="auto"/>
      </w:divBdr>
    </w:div>
    <w:div w:id="1654723787">
      <w:bodyDiv w:val="1"/>
      <w:marLeft w:val="0"/>
      <w:marRight w:val="0"/>
      <w:marTop w:val="0"/>
      <w:marBottom w:val="0"/>
      <w:divBdr>
        <w:top w:val="none" w:sz="0" w:space="0" w:color="auto"/>
        <w:left w:val="none" w:sz="0" w:space="0" w:color="auto"/>
        <w:bottom w:val="none" w:sz="0" w:space="0" w:color="auto"/>
        <w:right w:val="none" w:sz="0" w:space="0" w:color="auto"/>
      </w:divBdr>
    </w:div>
    <w:div w:id="1661807498">
      <w:bodyDiv w:val="1"/>
      <w:marLeft w:val="0"/>
      <w:marRight w:val="0"/>
      <w:marTop w:val="0"/>
      <w:marBottom w:val="0"/>
      <w:divBdr>
        <w:top w:val="none" w:sz="0" w:space="0" w:color="auto"/>
        <w:left w:val="none" w:sz="0" w:space="0" w:color="auto"/>
        <w:bottom w:val="none" w:sz="0" w:space="0" w:color="auto"/>
        <w:right w:val="none" w:sz="0" w:space="0" w:color="auto"/>
      </w:divBdr>
    </w:div>
    <w:div w:id="1662343815">
      <w:bodyDiv w:val="1"/>
      <w:marLeft w:val="0"/>
      <w:marRight w:val="0"/>
      <w:marTop w:val="0"/>
      <w:marBottom w:val="0"/>
      <w:divBdr>
        <w:top w:val="none" w:sz="0" w:space="0" w:color="auto"/>
        <w:left w:val="none" w:sz="0" w:space="0" w:color="auto"/>
        <w:bottom w:val="none" w:sz="0" w:space="0" w:color="auto"/>
        <w:right w:val="none" w:sz="0" w:space="0" w:color="auto"/>
      </w:divBdr>
    </w:div>
    <w:div w:id="1699963627">
      <w:bodyDiv w:val="1"/>
      <w:marLeft w:val="0"/>
      <w:marRight w:val="0"/>
      <w:marTop w:val="0"/>
      <w:marBottom w:val="0"/>
      <w:divBdr>
        <w:top w:val="none" w:sz="0" w:space="0" w:color="auto"/>
        <w:left w:val="none" w:sz="0" w:space="0" w:color="auto"/>
        <w:bottom w:val="none" w:sz="0" w:space="0" w:color="auto"/>
        <w:right w:val="none" w:sz="0" w:space="0" w:color="auto"/>
      </w:divBdr>
    </w:div>
    <w:div w:id="1725982705">
      <w:bodyDiv w:val="1"/>
      <w:marLeft w:val="0"/>
      <w:marRight w:val="0"/>
      <w:marTop w:val="0"/>
      <w:marBottom w:val="0"/>
      <w:divBdr>
        <w:top w:val="none" w:sz="0" w:space="0" w:color="auto"/>
        <w:left w:val="none" w:sz="0" w:space="0" w:color="auto"/>
        <w:bottom w:val="none" w:sz="0" w:space="0" w:color="auto"/>
        <w:right w:val="none" w:sz="0" w:space="0" w:color="auto"/>
      </w:divBdr>
    </w:div>
    <w:div w:id="1779596684">
      <w:bodyDiv w:val="1"/>
      <w:marLeft w:val="0"/>
      <w:marRight w:val="0"/>
      <w:marTop w:val="0"/>
      <w:marBottom w:val="0"/>
      <w:divBdr>
        <w:top w:val="none" w:sz="0" w:space="0" w:color="auto"/>
        <w:left w:val="none" w:sz="0" w:space="0" w:color="auto"/>
        <w:bottom w:val="none" w:sz="0" w:space="0" w:color="auto"/>
        <w:right w:val="none" w:sz="0" w:space="0" w:color="auto"/>
      </w:divBdr>
    </w:div>
    <w:div w:id="1794322948">
      <w:bodyDiv w:val="1"/>
      <w:marLeft w:val="0"/>
      <w:marRight w:val="0"/>
      <w:marTop w:val="0"/>
      <w:marBottom w:val="0"/>
      <w:divBdr>
        <w:top w:val="none" w:sz="0" w:space="0" w:color="auto"/>
        <w:left w:val="none" w:sz="0" w:space="0" w:color="auto"/>
        <w:bottom w:val="none" w:sz="0" w:space="0" w:color="auto"/>
        <w:right w:val="none" w:sz="0" w:space="0" w:color="auto"/>
      </w:divBdr>
    </w:div>
    <w:div w:id="1815440912">
      <w:bodyDiv w:val="1"/>
      <w:marLeft w:val="0"/>
      <w:marRight w:val="0"/>
      <w:marTop w:val="0"/>
      <w:marBottom w:val="0"/>
      <w:divBdr>
        <w:top w:val="none" w:sz="0" w:space="0" w:color="auto"/>
        <w:left w:val="none" w:sz="0" w:space="0" w:color="auto"/>
        <w:bottom w:val="none" w:sz="0" w:space="0" w:color="auto"/>
        <w:right w:val="none" w:sz="0" w:space="0" w:color="auto"/>
      </w:divBdr>
    </w:div>
    <w:div w:id="1817381830">
      <w:bodyDiv w:val="1"/>
      <w:marLeft w:val="0"/>
      <w:marRight w:val="0"/>
      <w:marTop w:val="0"/>
      <w:marBottom w:val="0"/>
      <w:divBdr>
        <w:top w:val="none" w:sz="0" w:space="0" w:color="auto"/>
        <w:left w:val="none" w:sz="0" w:space="0" w:color="auto"/>
        <w:bottom w:val="none" w:sz="0" w:space="0" w:color="auto"/>
        <w:right w:val="none" w:sz="0" w:space="0" w:color="auto"/>
      </w:divBdr>
    </w:div>
    <w:div w:id="1822455272">
      <w:bodyDiv w:val="1"/>
      <w:marLeft w:val="0"/>
      <w:marRight w:val="0"/>
      <w:marTop w:val="0"/>
      <w:marBottom w:val="0"/>
      <w:divBdr>
        <w:top w:val="none" w:sz="0" w:space="0" w:color="auto"/>
        <w:left w:val="none" w:sz="0" w:space="0" w:color="auto"/>
        <w:bottom w:val="none" w:sz="0" w:space="0" w:color="auto"/>
        <w:right w:val="none" w:sz="0" w:space="0" w:color="auto"/>
      </w:divBdr>
    </w:div>
    <w:div w:id="1827430534">
      <w:bodyDiv w:val="1"/>
      <w:marLeft w:val="0"/>
      <w:marRight w:val="0"/>
      <w:marTop w:val="0"/>
      <w:marBottom w:val="0"/>
      <w:divBdr>
        <w:top w:val="none" w:sz="0" w:space="0" w:color="auto"/>
        <w:left w:val="none" w:sz="0" w:space="0" w:color="auto"/>
        <w:bottom w:val="none" w:sz="0" w:space="0" w:color="auto"/>
        <w:right w:val="none" w:sz="0" w:space="0" w:color="auto"/>
      </w:divBdr>
    </w:div>
    <w:div w:id="1834956652">
      <w:bodyDiv w:val="1"/>
      <w:marLeft w:val="0"/>
      <w:marRight w:val="0"/>
      <w:marTop w:val="0"/>
      <w:marBottom w:val="0"/>
      <w:divBdr>
        <w:top w:val="none" w:sz="0" w:space="0" w:color="auto"/>
        <w:left w:val="none" w:sz="0" w:space="0" w:color="auto"/>
        <w:bottom w:val="none" w:sz="0" w:space="0" w:color="auto"/>
        <w:right w:val="none" w:sz="0" w:space="0" w:color="auto"/>
      </w:divBdr>
    </w:div>
    <w:div w:id="1888293296">
      <w:bodyDiv w:val="1"/>
      <w:marLeft w:val="0"/>
      <w:marRight w:val="0"/>
      <w:marTop w:val="0"/>
      <w:marBottom w:val="0"/>
      <w:divBdr>
        <w:top w:val="none" w:sz="0" w:space="0" w:color="auto"/>
        <w:left w:val="none" w:sz="0" w:space="0" w:color="auto"/>
        <w:bottom w:val="none" w:sz="0" w:space="0" w:color="auto"/>
        <w:right w:val="none" w:sz="0" w:space="0" w:color="auto"/>
      </w:divBdr>
    </w:div>
    <w:div w:id="1912883051">
      <w:bodyDiv w:val="1"/>
      <w:marLeft w:val="0"/>
      <w:marRight w:val="0"/>
      <w:marTop w:val="0"/>
      <w:marBottom w:val="0"/>
      <w:divBdr>
        <w:top w:val="none" w:sz="0" w:space="0" w:color="auto"/>
        <w:left w:val="none" w:sz="0" w:space="0" w:color="auto"/>
        <w:bottom w:val="none" w:sz="0" w:space="0" w:color="auto"/>
        <w:right w:val="none" w:sz="0" w:space="0" w:color="auto"/>
      </w:divBdr>
    </w:div>
    <w:div w:id="1974673447">
      <w:bodyDiv w:val="1"/>
      <w:marLeft w:val="0"/>
      <w:marRight w:val="0"/>
      <w:marTop w:val="0"/>
      <w:marBottom w:val="0"/>
      <w:divBdr>
        <w:top w:val="none" w:sz="0" w:space="0" w:color="auto"/>
        <w:left w:val="none" w:sz="0" w:space="0" w:color="auto"/>
        <w:bottom w:val="none" w:sz="0" w:space="0" w:color="auto"/>
        <w:right w:val="none" w:sz="0" w:space="0" w:color="auto"/>
      </w:divBdr>
    </w:div>
    <w:div w:id="1988046704">
      <w:bodyDiv w:val="1"/>
      <w:marLeft w:val="0"/>
      <w:marRight w:val="0"/>
      <w:marTop w:val="0"/>
      <w:marBottom w:val="0"/>
      <w:divBdr>
        <w:top w:val="none" w:sz="0" w:space="0" w:color="auto"/>
        <w:left w:val="none" w:sz="0" w:space="0" w:color="auto"/>
        <w:bottom w:val="none" w:sz="0" w:space="0" w:color="auto"/>
        <w:right w:val="none" w:sz="0" w:space="0" w:color="auto"/>
      </w:divBdr>
    </w:div>
    <w:div w:id="1990555368">
      <w:bodyDiv w:val="1"/>
      <w:marLeft w:val="0"/>
      <w:marRight w:val="0"/>
      <w:marTop w:val="0"/>
      <w:marBottom w:val="0"/>
      <w:divBdr>
        <w:top w:val="none" w:sz="0" w:space="0" w:color="auto"/>
        <w:left w:val="none" w:sz="0" w:space="0" w:color="auto"/>
        <w:bottom w:val="none" w:sz="0" w:space="0" w:color="auto"/>
        <w:right w:val="none" w:sz="0" w:space="0" w:color="auto"/>
      </w:divBdr>
    </w:div>
    <w:div w:id="1997107763">
      <w:bodyDiv w:val="1"/>
      <w:marLeft w:val="0"/>
      <w:marRight w:val="0"/>
      <w:marTop w:val="0"/>
      <w:marBottom w:val="0"/>
      <w:divBdr>
        <w:top w:val="none" w:sz="0" w:space="0" w:color="auto"/>
        <w:left w:val="none" w:sz="0" w:space="0" w:color="auto"/>
        <w:bottom w:val="none" w:sz="0" w:space="0" w:color="auto"/>
        <w:right w:val="none" w:sz="0" w:space="0" w:color="auto"/>
      </w:divBdr>
    </w:div>
    <w:div w:id="2018654197">
      <w:bodyDiv w:val="1"/>
      <w:marLeft w:val="0"/>
      <w:marRight w:val="0"/>
      <w:marTop w:val="0"/>
      <w:marBottom w:val="0"/>
      <w:divBdr>
        <w:top w:val="none" w:sz="0" w:space="0" w:color="auto"/>
        <w:left w:val="none" w:sz="0" w:space="0" w:color="auto"/>
        <w:bottom w:val="none" w:sz="0" w:space="0" w:color="auto"/>
        <w:right w:val="none" w:sz="0" w:space="0" w:color="auto"/>
      </w:divBdr>
    </w:div>
    <w:div w:id="2039232506">
      <w:bodyDiv w:val="1"/>
      <w:marLeft w:val="0"/>
      <w:marRight w:val="0"/>
      <w:marTop w:val="0"/>
      <w:marBottom w:val="0"/>
      <w:divBdr>
        <w:top w:val="none" w:sz="0" w:space="0" w:color="auto"/>
        <w:left w:val="none" w:sz="0" w:space="0" w:color="auto"/>
        <w:bottom w:val="none" w:sz="0" w:space="0" w:color="auto"/>
        <w:right w:val="none" w:sz="0" w:space="0" w:color="auto"/>
      </w:divBdr>
    </w:div>
    <w:div w:id="2057385756">
      <w:bodyDiv w:val="1"/>
      <w:marLeft w:val="0"/>
      <w:marRight w:val="0"/>
      <w:marTop w:val="0"/>
      <w:marBottom w:val="0"/>
      <w:divBdr>
        <w:top w:val="none" w:sz="0" w:space="0" w:color="auto"/>
        <w:left w:val="none" w:sz="0" w:space="0" w:color="auto"/>
        <w:bottom w:val="none" w:sz="0" w:space="0" w:color="auto"/>
        <w:right w:val="none" w:sz="0" w:space="0" w:color="auto"/>
      </w:divBdr>
    </w:div>
    <w:div w:id="2072344327">
      <w:bodyDiv w:val="1"/>
      <w:marLeft w:val="0"/>
      <w:marRight w:val="0"/>
      <w:marTop w:val="0"/>
      <w:marBottom w:val="0"/>
      <w:divBdr>
        <w:top w:val="none" w:sz="0" w:space="0" w:color="auto"/>
        <w:left w:val="none" w:sz="0" w:space="0" w:color="auto"/>
        <w:bottom w:val="none" w:sz="0" w:space="0" w:color="auto"/>
        <w:right w:val="none" w:sz="0" w:space="0" w:color="auto"/>
      </w:divBdr>
    </w:div>
    <w:div w:id="2096784861">
      <w:bodyDiv w:val="1"/>
      <w:marLeft w:val="0"/>
      <w:marRight w:val="0"/>
      <w:marTop w:val="0"/>
      <w:marBottom w:val="0"/>
      <w:divBdr>
        <w:top w:val="none" w:sz="0" w:space="0" w:color="auto"/>
        <w:left w:val="none" w:sz="0" w:space="0" w:color="auto"/>
        <w:bottom w:val="none" w:sz="0" w:space="0" w:color="auto"/>
        <w:right w:val="none" w:sz="0" w:space="0" w:color="auto"/>
      </w:divBdr>
    </w:div>
    <w:div w:id="2099010958">
      <w:bodyDiv w:val="1"/>
      <w:marLeft w:val="0"/>
      <w:marRight w:val="0"/>
      <w:marTop w:val="0"/>
      <w:marBottom w:val="0"/>
      <w:divBdr>
        <w:top w:val="none" w:sz="0" w:space="0" w:color="auto"/>
        <w:left w:val="none" w:sz="0" w:space="0" w:color="auto"/>
        <w:bottom w:val="none" w:sz="0" w:space="0" w:color="auto"/>
        <w:right w:val="none" w:sz="0" w:space="0" w:color="auto"/>
      </w:divBdr>
    </w:div>
    <w:div w:id="2102143145">
      <w:bodyDiv w:val="1"/>
      <w:marLeft w:val="0"/>
      <w:marRight w:val="0"/>
      <w:marTop w:val="0"/>
      <w:marBottom w:val="0"/>
      <w:divBdr>
        <w:top w:val="none" w:sz="0" w:space="0" w:color="auto"/>
        <w:left w:val="none" w:sz="0" w:space="0" w:color="auto"/>
        <w:bottom w:val="none" w:sz="0" w:space="0" w:color="auto"/>
        <w:right w:val="none" w:sz="0" w:space="0" w:color="auto"/>
      </w:divBdr>
    </w:div>
    <w:div w:id="2109425309">
      <w:bodyDiv w:val="1"/>
      <w:marLeft w:val="0"/>
      <w:marRight w:val="0"/>
      <w:marTop w:val="0"/>
      <w:marBottom w:val="0"/>
      <w:divBdr>
        <w:top w:val="none" w:sz="0" w:space="0" w:color="auto"/>
        <w:left w:val="none" w:sz="0" w:space="0" w:color="auto"/>
        <w:bottom w:val="none" w:sz="0" w:space="0" w:color="auto"/>
        <w:right w:val="none" w:sz="0" w:space="0" w:color="auto"/>
      </w:divBdr>
    </w:div>
    <w:div w:id="2121755801">
      <w:bodyDiv w:val="1"/>
      <w:marLeft w:val="0"/>
      <w:marRight w:val="0"/>
      <w:marTop w:val="0"/>
      <w:marBottom w:val="0"/>
      <w:divBdr>
        <w:top w:val="none" w:sz="0" w:space="0" w:color="auto"/>
        <w:left w:val="none" w:sz="0" w:space="0" w:color="auto"/>
        <w:bottom w:val="none" w:sz="0" w:space="0" w:color="auto"/>
        <w:right w:val="none" w:sz="0" w:space="0" w:color="auto"/>
      </w:divBdr>
    </w:div>
    <w:div w:id="2125225483">
      <w:bodyDiv w:val="1"/>
      <w:marLeft w:val="0"/>
      <w:marRight w:val="0"/>
      <w:marTop w:val="0"/>
      <w:marBottom w:val="0"/>
      <w:divBdr>
        <w:top w:val="none" w:sz="0" w:space="0" w:color="auto"/>
        <w:left w:val="none" w:sz="0" w:space="0" w:color="auto"/>
        <w:bottom w:val="none" w:sz="0" w:space="0" w:color="auto"/>
        <w:right w:val="none" w:sz="0" w:space="0" w:color="auto"/>
      </w:divBdr>
    </w:div>
    <w:div w:id="2135127825">
      <w:bodyDiv w:val="1"/>
      <w:marLeft w:val="0"/>
      <w:marRight w:val="0"/>
      <w:marTop w:val="0"/>
      <w:marBottom w:val="0"/>
      <w:divBdr>
        <w:top w:val="none" w:sz="0" w:space="0" w:color="auto"/>
        <w:left w:val="none" w:sz="0" w:space="0" w:color="auto"/>
        <w:bottom w:val="none" w:sz="0" w:space="0" w:color="auto"/>
        <w:right w:val="none" w:sz="0" w:space="0" w:color="auto"/>
      </w:divBdr>
    </w:div>
    <w:div w:id="2146920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eliska.krohova@crestcom.cz" TargetMode="External"/><Relationship Id="rId18"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hyperlink" Target="http://https/www.fidelity.cz"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https/www.fidelityinternational.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4DA9842DBA47FB4F97EE05D15FAAB50A" ma:contentTypeVersion="4" ma:contentTypeDescription="Vytvoří nový dokument" ma:contentTypeScope="" ma:versionID="6f9644b4e43d6333fe68447961a283bf">
  <xsd:schema xmlns:xsd="http://www.w3.org/2001/XMLSchema" xmlns:xs="http://www.w3.org/2001/XMLSchema" xmlns:p="http://schemas.microsoft.com/office/2006/metadata/properties" xmlns:ns3="582c5473-2b97-4cd0-ba19-d66cd0f46ac6" targetNamespace="http://schemas.microsoft.com/office/2006/metadata/properties" ma:root="true" ma:fieldsID="52da21f40bf929f7e4944f73f6eb16e5" ns3:_="">
    <xsd:import namespace="582c5473-2b97-4cd0-ba19-d66cd0f46ac6"/>
    <xsd:element name="properties">
      <xsd:complexType>
        <xsd:sequence>
          <xsd:element name="documentManagement">
            <xsd:complexType>
              <xsd:all>
                <xsd:element ref="ns3:MediaServiceMetadata" minOccurs="0"/>
                <xsd:element ref="ns3:MediaServiceFastMetadata"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2c5473-2b97-4cd0-ba19-d66cd0f46a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582c5473-2b97-4cd0-ba19-d66cd0f46ac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A7AA92-9CB9-4BF8-B360-F6AABA4F8B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2c5473-2b97-4cd0-ba19-d66cd0f46a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F663A9B-5F35-4DB3-B406-110DCFBB6C4E}">
  <ds:schemaRefs>
    <ds:schemaRef ds:uri="http://schemas.microsoft.com/office/2006/metadata/properties"/>
    <ds:schemaRef ds:uri="http://schemas.microsoft.com/office/infopath/2007/PartnerControls"/>
    <ds:schemaRef ds:uri="582c5473-2b97-4cd0-ba19-d66cd0f46ac6"/>
  </ds:schemaRefs>
</ds:datastoreItem>
</file>

<file path=customXml/itemProps3.xml><?xml version="1.0" encoding="utf-8"?>
<ds:datastoreItem xmlns:ds="http://schemas.openxmlformats.org/officeDocument/2006/customXml" ds:itemID="{6FF2901F-9299-4A9A-817D-EAA7280ADC3F}">
  <ds:schemaRefs>
    <ds:schemaRef ds:uri="http://schemas.microsoft.com/sharepoint/v3/contenttype/forms"/>
  </ds:schemaRefs>
</ds:datastoreItem>
</file>

<file path=customXml/itemProps4.xml><?xml version="1.0" encoding="utf-8"?>
<ds:datastoreItem xmlns:ds="http://schemas.openxmlformats.org/officeDocument/2006/customXml" ds:itemID="{3C3F1069-DFF9-4822-8ACC-59BB7CBADA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2364</Words>
  <Characters>13954</Characters>
  <Application>Microsoft Office Word</Application>
  <DocSecurity>0</DocSecurity>
  <Lines>116</Lines>
  <Paragraphs>32</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Dokument</vt:lpstr>
      <vt:lpstr>Dokument</vt:lpstr>
    </vt:vector>
  </TitlesOfParts>
  <Company>TPA-NOTIA, s.r.o.</Company>
  <LinksUpToDate>false</LinksUpToDate>
  <CharactersWithSpaces>16286</CharactersWithSpaces>
  <SharedDoc>false</SharedDoc>
  <HLinks>
    <vt:vector size="18" baseType="variant">
      <vt:variant>
        <vt:i4>7012365</vt:i4>
      </vt:variant>
      <vt:variant>
        <vt:i4>9</vt:i4>
      </vt:variant>
      <vt:variant>
        <vt:i4>0</vt:i4>
      </vt:variant>
      <vt:variant>
        <vt:i4>5</vt:i4>
      </vt:variant>
      <vt:variant>
        <vt:lpwstr>mailto:eliska.krohova@crestcom.cz</vt:lpwstr>
      </vt:variant>
      <vt:variant>
        <vt:lpwstr/>
      </vt:variant>
      <vt:variant>
        <vt:i4>1572878</vt:i4>
      </vt:variant>
      <vt:variant>
        <vt:i4>-1</vt:i4>
      </vt:variant>
      <vt:variant>
        <vt:i4>1033</vt:i4>
      </vt:variant>
      <vt:variant>
        <vt:i4>4</vt:i4>
      </vt:variant>
      <vt:variant>
        <vt:lpwstr>https://www.fidelity.cz/</vt:lpwstr>
      </vt:variant>
      <vt:variant>
        <vt:lpwstr/>
      </vt:variant>
      <vt:variant>
        <vt:i4>1572878</vt:i4>
      </vt:variant>
      <vt:variant>
        <vt:i4>-1</vt:i4>
      </vt:variant>
      <vt:variant>
        <vt:i4>1032</vt:i4>
      </vt:variant>
      <vt:variant>
        <vt:i4>4</vt:i4>
      </vt:variant>
      <vt:variant>
        <vt:lpwstr>https://www.fidelity.cz/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Dokument</dc:title>
  <dc:creator>Martina Lambert</dc:creator>
  <cp:lastModifiedBy>Jana Bělochová | CrestCommunications a.s.</cp:lastModifiedBy>
  <cp:revision>3</cp:revision>
  <cp:lastPrinted>2015-11-30T16:29:00Z</cp:lastPrinted>
  <dcterms:created xsi:type="dcterms:W3CDTF">2026-10-19T09:02:00Z</dcterms:created>
  <dcterms:modified xsi:type="dcterms:W3CDTF">2026-10-20T09:10:00Z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0x0101004DA9842DBA47FB4F97EE05D15FAAB50A</vt:lpwstr>
  </property>
  <property fmtid="{D5CDD505-2E9C-101B-9397-08002B2CF9AE}" pid="3" name="MSIP_Label_be873328-34e0-4f6c-84cb-dd757c63c1a0_Enabled">
    <vt:lpwstr>true</vt:lpwstr>
  </property>
  <property fmtid="{D5CDD505-2E9C-101B-9397-08002B2CF9AE}" pid="4" name="MSIP_Label_be873328-34e0-4f6c-84cb-dd757c63c1a0_SetDate">
    <vt:lpwstr>2023-03-20T14:00:05Z</vt:lpwstr>
  </property>
  <property fmtid="{D5CDD505-2E9C-101B-9397-08002B2CF9AE}" pid="5" name="MSIP_Label_be873328-34e0-4f6c-84cb-dd757c63c1a0_Method">
    <vt:lpwstr>Privileged</vt:lpwstr>
  </property>
  <property fmtid="{D5CDD505-2E9C-101B-9397-08002B2CF9AE}" pid="6" name="MSIP_Label_be873328-34e0-4f6c-84cb-dd757c63c1a0_Name">
    <vt:lpwstr>FIL-Internal</vt:lpwstr>
  </property>
  <property fmtid="{D5CDD505-2E9C-101B-9397-08002B2CF9AE}" pid="7" name="MSIP_Label_be873328-34e0-4f6c-84cb-dd757c63c1a0_SiteId">
    <vt:lpwstr>6b94db52-3791-432c-b97e-871411cd202e</vt:lpwstr>
  </property>
  <property fmtid="{D5CDD505-2E9C-101B-9397-08002B2CF9AE}" pid="8" name="MSIP_Label_be873328-34e0-4f6c-84cb-dd757c63c1a0_ActionId">
    <vt:lpwstr>8add6277-4d5f-4a76-983e-75d9da0c44e6</vt:lpwstr>
  </property>
  <property fmtid="{D5CDD505-2E9C-101B-9397-08002B2CF9AE}" pid="9" name="MSIP_Label_be873328-34e0-4f6c-84cb-dd757c63c1a0_ContentBits">
    <vt:lpwstr>0</vt:lpwstr>
  </property>
</Properties>
</file>